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560" w:lineRule="exact"/>
        <w:jc w:val="center"/>
        <w:outlineLvl w:val="0"/>
        <w:rPr>
          <w:rFonts w:hint="eastAsia" w:ascii="方正小标宋简体" w:hAnsi="方正小标宋简体" w:eastAsia="方正小标宋简体" w:cs="方正小标宋简体"/>
          <w:kern w:val="0"/>
          <w:sz w:val="44"/>
          <w:szCs w:val="44"/>
          <w:lang w:bidi="ar"/>
          <w14:ligatures w14:val="none"/>
        </w:rPr>
      </w:pPr>
      <w:r>
        <w:rPr>
          <w:rFonts w:hint="eastAsia" w:ascii="方正小标宋简体" w:hAnsi="方正小标宋简体" w:eastAsia="方正小标宋简体" w:cs="方正小标宋简体"/>
          <w:kern w:val="0"/>
          <w:sz w:val="44"/>
          <w:szCs w:val="44"/>
          <w:lang w:bidi="ar"/>
          <w14:ligatures w14:val="none"/>
        </w:rPr>
        <w:t>海淀区全面打造OPC创业生态专项申报指南</w:t>
      </w:r>
    </w:p>
    <w:p>
      <w:pPr>
        <w:suppressAutoHyphens/>
        <w:spacing w:line="560" w:lineRule="exact"/>
        <w:ind w:firstLine="640" w:firstLineChars="200"/>
        <w:rPr>
          <w:rFonts w:hint="eastAsia" w:ascii="仿宋_GB2312" w:hAnsi="仿宋_GB2312" w:eastAsia="仿宋_GB2312" w:cs="仿宋_GB2312"/>
          <w:kern w:val="0"/>
          <w:sz w:val="32"/>
          <w:szCs w:val="32"/>
          <w:lang w:bidi="ar"/>
          <w14:ligatures w14:val="none"/>
        </w:rPr>
      </w:pPr>
    </w:p>
    <w:p>
      <w:pPr>
        <w:suppressAutoHyphens/>
        <w:spacing w:line="560" w:lineRule="exact"/>
        <w:ind w:firstLine="640" w:firstLineChars="200"/>
        <w:rPr>
          <w:rFonts w:hint="eastAsia" w:ascii="方正小标宋简体" w:hAnsi="方正小标宋简体" w:eastAsia="方正小标宋简体" w:cs="方正小标宋简体"/>
          <w:sz w:val="44"/>
          <w:szCs w:val="44"/>
          <w14:ligatures w14:val="none"/>
        </w:rPr>
      </w:pPr>
      <w:r>
        <w:rPr>
          <w:rFonts w:hint="eastAsia" w:ascii="仿宋_GB2312" w:hAnsi="仿宋_GB2312" w:eastAsia="仿宋_GB2312" w:cs="仿宋_GB2312"/>
          <w:kern w:val="0"/>
          <w:sz w:val="32"/>
          <w:szCs w:val="32"/>
          <w:lang w:bidi="ar"/>
          <w14:ligatures w14:val="none"/>
        </w:rPr>
        <w:t>为进一步激发“人工智能+”创业活力，大力培育基于人工智能的创业新模式，构建创新活跃、潜力迸发的</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szCs w:val="32"/>
          <w:lang w:bidi="ar"/>
          <w14:ligatures w14:val="none"/>
        </w:rPr>
        <w:t>创业生态，全力打造世界级人工智能创新区，特制定海淀区全面打造</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szCs w:val="32"/>
          <w:lang w:bidi="ar"/>
          <w14:ligatures w14:val="none"/>
        </w:rPr>
        <w:t>创业生态专项申报指南。</w:t>
      </w:r>
    </w:p>
    <w:p>
      <w:pPr>
        <w:suppressAutoHyphens/>
        <w:spacing w:line="560" w:lineRule="exact"/>
        <w:ind w:firstLine="640" w:firstLineChars="200"/>
        <w:rPr>
          <w:rFonts w:ascii="黑体" w:hAnsi="黑体" w:eastAsia="黑体" w:cs="仿宋_GB2312"/>
          <w:kern w:val="0"/>
          <w:sz w:val="32"/>
          <w:szCs w:val="32"/>
          <w:lang w:bidi="ar"/>
          <w14:ligatures w14:val="none"/>
        </w:rPr>
      </w:pPr>
      <w:r>
        <w:rPr>
          <w:rFonts w:hint="eastAsia" w:ascii="黑体" w:hAnsi="黑体" w:eastAsia="黑体" w:cs="仿宋_GB2312"/>
          <w:kern w:val="0"/>
          <w:sz w:val="32"/>
          <w:szCs w:val="32"/>
          <w:lang w:bidi="ar"/>
          <w14:ligatures w14:val="none"/>
        </w:rPr>
        <w:t>一、OPC申报主体</w:t>
      </w:r>
    </w:p>
    <w:p>
      <w:pPr>
        <w:suppressAutoHyphens/>
        <w:overflowPunct w:val="0"/>
        <w:spacing w:line="560" w:lineRule="exact"/>
        <w:ind w:firstLine="640" w:firstLineChars="200"/>
        <w:rPr>
          <w:rFonts w:hint="eastAsia"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（一）申报条件</w:t>
      </w:r>
    </w:p>
    <w:p>
      <w:pPr>
        <w:suppressAutoHyphens/>
        <w:overflowPunct w:val="0"/>
        <w:spacing w:line="560" w:lineRule="exact"/>
        <w:ind w:firstLine="640" w:firstLineChars="200"/>
        <w:rPr>
          <w:rFonts w:hint="eastAsia" w:ascii="楷体_GB2312" w:hAnsi="楷体_GB2312" w:eastAsia="楷体_GB2312" w:cs="楷体_GB2312"/>
          <w:sz w:val="32"/>
          <w:szCs w:val="24"/>
          <w14:ligatures w14:val="none"/>
        </w:rPr>
      </w:pPr>
      <w:r>
        <w:rPr>
          <w:rFonts w:ascii="Times New Roman" w:hAnsi="Times New Roman" w:eastAsia="仿宋_GB2312" w:cs="Times New Roman"/>
          <w:sz w:val="32"/>
          <w:szCs w:val="32"/>
          <w14:ligatures w14:val="none"/>
        </w:rPr>
        <w:t>申请认定为海淀区</w:t>
      </w:r>
      <w:r>
        <w:rPr>
          <w:rFonts w:hint="eastAsia" w:ascii="仿宋_GB2312" w:hAnsi="仿宋_GB2312" w:eastAsia="仿宋_GB2312" w:cs="仿宋_GB2312"/>
          <w:sz w:val="32"/>
          <w:szCs w:val="32"/>
          <w14:ligatures w14:val="none"/>
        </w:rPr>
        <w:t>OPC</w:t>
      </w:r>
      <w:r>
        <w:rPr>
          <w:rFonts w:ascii="Times New Roman" w:hAnsi="Times New Roman" w:eastAsia="仿宋_GB2312" w:cs="Times New Roman"/>
          <w:sz w:val="32"/>
          <w:szCs w:val="32"/>
          <w14:ligatures w14:val="none"/>
        </w:rPr>
        <w:t>，必须同时满足以下全部条件：</w:t>
      </w:r>
    </w:p>
    <w:p>
      <w:pPr>
        <w:suppressAutoHyphens/>
        <w:spacing w:line="560" w:lineRule="exact"/>
        <w:ind w:firstLine="640" w:firstLineChars="200"/>
        <w:rPr>
          <w:rFonts w:hint="eastAsia" w:ascii="楷体_GB2312" w:hAnsi="楷体_GB2312" w:eastAsia="楷体_GB2312" w:cs="楷体_GB2312"/>
          <w:sz w:val="32"/>
          <w:szCs w:val="24"/>
          <w14:ligatures w14:val="none"/>
        </w:rPr>
      </w:pPr>
      <w:r>
        <w:rPr>
          <w:rFonts w:hint="eastAsia" w:ascii="楷体_GB2312" w:hAnsi="楷体_GB2312" w:eastAsia="楷体_GB2312" w:cs="楷体_GB2312"/>
          <w:sz w:val="32"/>
          <w:szCs w:val="24"/>
          <w14:ligatures w14:val="none"/>
        </w:rPr>
        <w:t>1.主体资格</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（1）在海淀区行政区域内合法经营，具有独立法人资格。</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（2）符合海淀区“1+X+1”现代化产业体系建设方向。</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（3）企业成立时间自注册之日起至指南发布之日，不超过3年（</w:t>
      </w:r>
      <w:r>
        <w:rPr>
          <w:rFonts w:hint="eastAsia" w:ascii="楷体_GB2312" w:hAnsi="楷体_GB2312" w:eastAsia="楷体_GB2312" w:cs="楷体_GB2312"/>
          <w:sz w:val="32"/>
          <w:szCs w:val="32"/>
          <w:lang w:eastAsia="zh-CN"/>
          <w14:ligatures w14:val="none"/>
        </w:rPr>
        <w:t>注册日期</w:t>
      </w:r>
      <w:r>
        <w:rPr>
          <w:rFonts w:hint="eastAsia" w:ascii="楷体_GB2312" w:hAnsi="楷体_GB2312" w:eastAsia="楷体_GB2312" w:cs="楷体_GB2312"/>
          <w:sz w:val="32"/>
          <w:szCs w:val="32"/>
          <w14:ligatures w14:val="none"/>
        </w:rPr>
        <w:t>应在2023年</w:t>
      </w:r>
      <w:r>
        <w:rPr>
          <w:rFonts w:hint="eastAsia" w:ascii="楷体_GB2312" w:hAnsi="楷体_GB2312" w:eastAsia="楷体_GB2312" w:cs="楷体_GB2312"/>
          <w:sz w:val="32"/>
          <w:szCs w:val="32"/>
          <w:lang w:val="en-US" w:eastAsia="zh-CN"/>
          <w14:ligatures w14:val="none"/>
        </w:rPr>
        <w:t>5</w:t>
      </w:r>
      <w:r>
        <w:rPr>
          <w:rFonts w:hint="eastAsia" w:ascii="楷体_GB2312" w:hAnsi="楷体_GB2312" w:eastAsia="楷体_GB2312" w:cs="楷体_GB2312"/>
          <w:sz w:val="32"/>
          <w:szCs w:val="32"/>
          <w14:ligatures w14:val="none"/>
        </w:rPr>
        <w:t>月</w:t>
      </w:r>
      <w:r>
        <w:rPr>
          <w:rFonts w:hint="eastAsia" w:ascii="楷体_GB2312" w:hAnsi="楷体_GB2312" w:eastAsia="楷体_GB2312" w:cs="楷体_GB2312"/>
          <w:sz w:val="32"/>
          <w:szCs w:val="32"/>
          <w:lang w:val="en-US" w:eastAsia="zh-CN"/>
          <w14:ligatures w14:val="none"/>
        </w:rPr>
        <w:t>21</w:t>
      </w:r>
      <w:r>
        <w:rPr>
          <w:rFonts w:hint="eastAsia" w:ascii="楷体_GB2312" w:hAnsi="楷体_GB2312" w:eastAsia="楷体_GB2312" w:cs="楷体_GB2312"/>
          <w:sz w:val="32"/>
          <w:szCs w:val="32"/>
          <w14:ligatures w14:val="none"/>
        </w:rPr>
        <w:t>日</w:t>
      </w:r>
      <w:r>
        <w:rPr>
          <w:rFonts w:hint="eastAsia" w:ascii="楷体_GB2312" w:hAnsi="楷体_GB2312" w:eastAsia="楷体_GB2312" w:cs="楷体_GB2312"/>
          <w:sz w:val="32"/>
          <w:szCs w:val="32"/>
          <w:lang w:eastAsia="zh-CN"/>
          <w14:ligatures w14:val="none"/>
        </w:rPr>
        <w:t>至</w:t>
      </w:r>
      <w:r>
        <w:rPr>
          <w:rFonts w:hint="eastAsia" w:ascii="楷体_GB2312" w:hAnsi="楷体_GB2312" w:eastAsia="楷体_GB2312" w:cs="楷体_GB2312"/>
          <w:sz w:val="32"/>
          <w:szCs w:val="32"/>
          <w:lang w:val="en-US" w:eastAsia="zh-CN"/>
          <w14:ligatures w14:val="none"/>
        </w:rPr>
        <w:t>2026年5月20日之间</w:t>
      </w:r>
      <w:r>
        <w:rPr>
          <w:rFonts w:hint="eastAsia" w:ascii="仿宋_GB2312" w:hAnsi="仿宋_GB2312" w:eastAsia="仿宋_GB2312" w:cs="仿宋_GB2312"/>
          <w:sz w:val="32"/>
          <w:szCs w:val="32"/>
          <w14:ligatures w14:val="none"/>
        </w:rPr>
        <w:t>）。</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（4）企业无严重违法违规记录和不良信用记录。</w:t>
      </w:r>
    </w:p>
    <w:p>
      <w:pPr>
        <w:suppressAutoHyphens/>
        <w:spacing w:line="560" w:lineRule="exact"/>
        <w:ind w:firstLine="640" w:firstLineChars="200"/>
        <w:rPr>
          <w:rFonts w:hint="eastAsia" w:ascii="楷体_GB2312" w:hAnsi="楷体_GB2312" w:eastAsia="楷体_GB2312" w:cs="楷体_GB2312"/>
          <w:sz w:val="32"/>
          <w:szCs w:val="24"/>
          <w14:ligatures w14:val="none"/>
        </w:rPr>
      </w:pPr>
      <w:r>
        <w:rPr>
          <w:rFonts w:hint="eastAsia" w:ascii="楷体_GB2312" w:hAnsi="楷体_GB2312" w:eastAsia="楷体_GB2312" w:cs="楷体_GB2312"/>
          <w:sz w:val="32"/>
          <w:szCs w:val="24"/>
          <w14:ligatures w14:val="none"/>
        </w:rPr>
        <w:t>2.人员结构</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（5）企业员工总数原则上不超过10人。</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（6）单一个人在企业的技术创新、战略决策和主要业务执行中发挥主导作用（</w:t>
      </w:r>
      <w:r>
        <w:rPr>
          <w:rFonts w:hint="eastAsia" w:ascii="楷体_GB2312" w:hAnsi="楷体_GB2312" w:eastAsia="楷体_GB2312" w:cs="楷体_GB2312"/>
          <w:sz w:val="32"/>
          <w:szCs w:val="32"/>
          <w14:ligatures w14:val="none"/>
        </w:rPr>
        <w:t>经股权穿透后，单一创始人合计持股比例超过50%</w:t>
      </w:r>
      <w:r>
        <w:rPr>
          <w:rFonts w:hint="eastAsia" w:ascii="仿宋_GB2312" w:hAnsi="仿宋_GB2312" w:eastAsia="仿宋_GB2312" w:cs="仿宋_GB2312"/>
          <w:sz w:val="32"/>
          <w:szCs w:val="32"/>
          <w14:ligatures w14:val="none"/>
        </w:rPr>
        <w:t>）。</w:t>
      </w:r>
    </w:p>
    <w:p>
      <w:pPr>
        <w:suppressAutoHyphens/>
        <w:spacing w:line="560" w:lineRule="exact"/>
        <w:ind w:firstLine="640" w:firstLineChars="200"/>
        <w:rPr>
          <w:rFonts w:hint="eastAsia" w:ascii="楷体_GB2312" w:hAnsi="楷体_GB2312" w:eastAsia="楷体_GB2312" w:cs="楷体_GB2312"/>
          <w:sz w:val="32"/>
          <w:szCs w:val="24"/>
          <w14:ligatures w14:val="none"/>
        </w:rPr>
      </w:pPr>
      <w:r>
        <w:rPr>
          <w:rFonts w:hint="eastAsia" w:ascii="楷体_GB2312" w:hAnsi="楷体_GB2312" w:eastAsia="楷体_GB2312" w:cs="楷体_GB2312"/>
          <w:sz w:val="32"/>
          <w:szCs w:val="24"/>
          <w14:ligatures w14:val="none"/>
        </w:rPr>
        <w:t>3.技术特征</w:t>
      </w:r>
    </w:p>
    <w:p>
      <w:pPr>
        <w:suppressAutoHyphens/>
        <w:overflowPunct w:val="0"/>
        <w:spacing w:line="560" w:lineRule="exact"/>
        <w:ind w:firstLine="640" w:firstLineChars="200"/>
        <w:rPr>
          <w:rFonts w:hint="eastAsia" w:ascii="仿宋_GB2312" w:hAnsi="仿宋_GB2312" w:eastAsia="仿宋_GB2312" w:cs="仿宋_GB2312"/>
          <w:kern w:val="0"/>
          <w:sz w:val="32"/>
          <w:highlight w:val="yellow"/>
          <w:lang w:val="en-US" w:eastAsia="zh-CN"/>
          <w14:ligatures w14:val="none"/>
        </w:rPr>
      </w:pPr>
      <w:r>
        <w:rPr>
          <w:rFonts w:hint="eastAsia" w:ascii="仿宋_GB2312" w:hAnsi="仿宋_GB2312" w:eastAsia="仿宋_GB2312" w:cs="仿宋_GB2312"/>
          <w:kern w:val="0"/>
          <w:sz w:val="32"/>
          <w14:ligatures w14:val="none"/>
        </w:rPr>
        <w:t>（7）以人工智能技术作为核心生产工具与关键驱动力。企业通过人工智能算法、模型或相关技术，完成核心产品或服务、主要业务流程等，实现商业闭环。</w:t>
      </w:r>
    </w:p>
    <w:p>
      <w:pPr>
        <w:suppressAutoHyphens/>
        <w:overflowPunct w:val="0"/>
        <w:spacing w:line="560" w:lineRule="exact"/>
        <w:ind w:firstLine="640" w:firstLineChars="200"/>
        <w:rPr>
          <w:rFonts w:hint="eastAsia" w:ascii="仿宋_GB2312" w:hAnsi="仿宋_GB2312" w:eastAsia="仿宋_GB2312" w:cs="仿宋_GB2312"/>
          <w:kern w:val="0"/>
          <w:sz w:val="32"/>
          <w:highlight w:val="none"/>
          <w:lang w:val="en-US" w:eastAsia="zh-CN"/>
          <w14:ligatures w14:val="none"/>
        </w:rPr>
      </w:pPr>
      <w:r>
        <w:rPr>
          <w:rFonts w:hint="eastAsia" w:ascii="仿宋_GB2312" w:hAnsi="仿宋_GB2312" w:eastAsia="仿宋_GB2312" w:cs="仿宋_GB2312"/>
          <w:kern w:val="0"/>
          <w:sz w:val="32"/>
          <w:highlight w:val="none"/>
          <w:lang w:val="en-US" w:eastAsia="zh-CN"/>
          <w14:ligatures w14:val="none"/>
        </w:rPr>
        <w:t>若企业具备研发创新、科技成果转化、取得知识产权授权等情况，或获得国家高新技术企业、创新型中小企业、科技型中小企业等资质，请一并提供佐证材料。</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kern w:val="0"/>
          <w:sz w:val="32"/>
          <w14:ligatures w14:val="none"/>
        </w:rPr>
        <w:t>（8）具备与业务规模相适应的人工智能设施使用能力（</w:t>
      </w:r>
      <w:r>
        <w:rPr>
          <w:rFonts w:hint="eastAsia" w:ascii="楷体_GB2312" w:hAnsi="楷体_GB2312" w:eastAsia="楷体_GB2312" w:cs="楷体_GB2312"/>
          <w:sz w:val="32"/>
          <w:szCs w:val="32"/>
          <w14:ligatures w14:val="none"/>
        </w:rPr>
        <w:t>包括自有或租用</w:t>
      </w:r>
      <w:r>
        <w:rPr>
          <w:rFonts w:hint="eastAsia" w:ascii="仿宋_GB2312" w:hAnsi="仿宋_GB2312" w:eastAsia="仿宋_GB2312" w:cs="仿宋_GB2312"/>
          <w:kern w:val="0"/>
          <w:sz w:val="32"/>
          <w14:ligatures w14:val="none"/>
        </w:rPr>
        <w:t>），能够支撑其全业务链路的独立或主导运行。过去12个月，企业采购Token、算力、工具等软硬件费用月均不低于1000元人民币或等额外币，如企业成立时间不足12个月，则按成立之日起计算</w:t>
      </w:r>
      <w:r>
        <w:rPr>
          <w:rFonts w:hint="eastAsia" w:ascii="仿宋_GB2312" w:hAnsi="仿宋_GB2312" w:eastAsia="仿宋_GB2312" w:cs="仿宋_GB2312"/>
          <w:sz w:val="32"/>
          <w:szCs w:val="32"/>
          <w14:ligatures w14:val="none"/>
        </w:rPr>
        <w:t>。</w:t>
      </w:r>
    </w:p>
    <w:p>
      <w:pPr>
        <w:suppressAutoHyphens/>
        <w:spacing w:line="560" w:lineRule="exact"/>
        <w:ind w:firstLine="640" w:firstLineChars="200"/>
        <w:rPr>
          <w:rFonts w:hint="eastAsia" w:ascii="楷体_GB2312" w:hAnsi="楷体_GB2312" w:eastAsia="楷体_GB2312" w:cs="楷体_GB2312"/>
          <w:sz w:val="32"/>
          <w:szCs w:val="24"/>
          <w14:ligatures w14:val="none"/>
        </w:rPr>
      </w:pPr>
      <w:r>
        <w:rPr>
          <w:rFonts w:hint="eastAsia" w:ascii="楷体_GB2312" w:hAnsi="楷体_GB2312" w:eastAsia="楷体_GB2312" w:cs="楷体_GB2312"/>
          <w:sz w:val="32"/>
          <w:szCs w:val="24"/>
          <w14:ligatures w14:val="none"/>
        </w:rPr>
        <w:t>4.其他要求</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申请安居支持的创业青年人才，还须满足：申请人需为经认定</w:t>
      </w:r>
      <w:r>
        <w:rPr>
          <w:rFonts w:hint="eastAsia" w:ascii="仿宋_GB2312" w:hAnsi="仿宋_GB2312" w:eastAsia="仿宋_GB2312" w:cs="仿宋_GB2312"/>
          <w:sz w:val="32"/>
          <w:szCs w:val="32"/>
          <w14:ligatures w14:val="none"/>
        </w:rPr>
        <w:t>的OPC青年创始人及获得知名投资机构投资企业的核心人才，年龄45周岁及以下，具有全</w:t>
      </w:r>
      <w:r>
        <w:rPr>
          <w:rFonts w:hint="eastAsia" w:ascii="Times New Roman" w:hAnsi="Times New Roman" w:eastAsia="仿宋_GB2312" w:cs="Times New Roman"/>
          <w:sz w:val="32"/>
          <w:szCs w:val="32"/>
          <w14:ligatures w14:val="none"/>
        </w:rPr>
        <w:t>日制本科及以上学历，且家庭成员（</w:t>
      </w:r>
      <w:r>
        <w:rPr>
          <w:rFonts w:hint="eastAsia" w:ascii="Times New Roman" w:hAnsi="Times New Roman" w:eastAsia="楷体_GB2312" w:cs="Times New Roman"/>
          <w:sz w:val="32"/>
          <w:szCs w:val="32"/>
          <w14:ligatures w14:val="none"/>
        </w:rPr>
        <w:t>含申请人、配偶和未成年子女</w:t>
      </w:r>
      <w:r>
        <w:rPr>
          <w:rFonts w:hint="eastAsia" w:ascii="Times New Roman" w:hAnsi="Times New Roman" w:eastAsia="仿宋_GB2312" w:cs="Times New Roman"/>
          <w:sz w:val="32"/>
          <w:szCs w:val="32"/>
          <w14:ligatures w14:val="none"/>
        </w:rPr>
        <w:t>）在本市无住房。</w:t>
      </w:r>
    </w:p>
    <w:p>
      <w:pPr>
        <w:suppressAutoHyphens/>
        <w:overflowPunct w:val="0"/>
        <w:spacing w:line="560" w:lineRule="exact"/>
        <w:ind w:firstLine="640" w:firstLineChars="200"/>
        <w:rPr>
          <w:rFonts w:hint="eastAsia"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（二）支持政策</w:t>
      </w:r>
    </w:p>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措施一</w:t>
      </w:r>
      <w:r>
        <w:rPr>
          <w:rFonts w:hint="eastAsia" w:ascii="仿宋_GB2312" w:hAnsi="仿宋_GB2312" w:eastAsia="仿宋_GB2312" w:cs="仿宋_GB2312"/>
          <w:kern w:val="0"/>
          <w:sz w:val="32"/>
          <w14:ligatures w14:val="none"/>
        </w:rPr>
        <w:t>：支持科技人才创办</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14:ligatures w14:val="none"/>
        </w:rPr>
        <w:t>。鼓励高校院所的科研人员、在读学生、毕业5年内校友以及重点企业技术人才等各类科技人才，围绕“1+X+1”现代化产业体系方向创办</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14:ligatures w14:val="none"/>
        </w:rPr>
        <w:t>，经认定对符合条件的企业给予连续2年、每年5万元创业资金支持。</w:t>
      </w:r>
    </w:p>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措施二</w:t>
      </w:r>
      <w:r>
        <w:rPr>
          <w:rFonts w:hint="eastAsia" w:ascii="仿宋_GB2312" w:hAnsi="仿宋_GB2312" w:eastAsia="仿宋_GB2312" w:cs="仿宋_GB2312"/>
          <w:kern w:val="0"/>
          <w:sz w:val="32"/>
          <w14:ligatures w14:val="none"/>
        </w:rPr>
        <w:t>：支持优质创赛项目转化。对近3年在“中国创新创业大赛”“创客中国”中小企业创新创业大赛、“中国国际大学生创新大赛”“HICOOL全球创业大赛”“中关</w:t>
      </w:r>
      <w:bookmarkStart w:id="0" w:name="_GoBack"/>
      <w:bookmarkEnd w:id="0"/>
      <w:r>
        <w:rPr>
          <w:rFonts w:hint="eastAsia" w:ascii="仿宋_GB2312" w:hAnsi="仿宋_GB2312" w:eastAsia="仿宋_GB2312" w:cs="仿宋_GB2312"/>
          <w:kern w:val="0"/>
          <w:sz w:val="32"/>
          <w14:ligatures w14:val="none"/>
        </w:rPr>
        <w:t>村国际前沿科技创新大赛”</w:t>
      </w:r>
      <w:r>
        <w:rPr>
          <w:rFonts w:hint="eastAsia" w:ascii="仿宋_GB2312" w:hAnsi="仿宋_GB2312" w:eastAsia="仿宋_GB2312" w:cs="仿宋_GB2312"/>
          <w:kern w:val="0"/>
          <w:sz w:val="32"/>
          <w:lang w:eastAsia="zh-CN"/>
          <w14:ligatures w14:val="none"/>
        </w:rPr>
        <w:t>“海淀高价值专利培育大赛”“‘京彩AI·智汇全球’北京大学生‘超级个体’（OPC）创业大赛”</w:t>
      </w:r>
      <w:r>
        <w:rPr>
          <w:rFonts w:hint="eastAsia" w:ascii="仿宋_GB2312" w:hAnsi="仿宋_GB2312" w:eastAsia="仿宋_GB2312" w:cs="仿宋_GB2312"/>
          <w:kern w:val="0"/>
          <w:sz w:val="32"/>
          <w14:ligatures w14:val="none"/>
        </w:rPr>
        <w:t>中获奖项目，由其获奖人（</w:t>
      </w:r>
      <w:r>
        <w:rPr>
          <w:rFonts w:hint="eastAsia" w:ascii="楷体_GB2312" w:hAnsi="楷体_GB2312" w:eastAsia="楷体_GB2312" w:cs="楷体_GB2312"/>
          <w:kern w:val="0"/>
          <w:sz w:val="32"/>
          <w14:ligatures w14:val="none"/>
        </w:rPr>
        <w:t>团队</w:t>
      </w:r>
      <w:r>
        <w:rPr>
          <w:rFonts w:hint="eastAsia" w:ascii="仿宋_GB2312" w:hAnsi="仿宋_GB2312" w:eastAsia="仿宋_GB2312" w:cs="仿宋_GB2312"/>
          <w:kern w:val="0"/>
          <w:sz w:val="32"/>
          <w14:ligatures w14:val="none"/>
        </w:rPr>
        <w:t>）在海淀创办的OPC，给予最高50万元支持。</w:t>
      </w:r>
      <w:r>
        <w:rPr>
          <w:rFonts w:hint="eastAsia" w:ascii="仿宋_GB2312" w:hAnsi="仿宋_GB2312" w:eastAsia="仿宋_GB2312" w:cs="Times New Roman"/>
          <w:sz w:val="32"/>
          <w:szCs w:val="32"/>
          <w14:ligatures w14:val="none"/>
        </w:rPr>
        <w:t>具体支持标准如下：</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135"/>
        <w:gridCol w:w="314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tcMar>
              <w:top w:w="80" w:type="dxa"/>
              <w:left w:w="80" w:type="dxa"/>
              <w:bottom w:w="80" w:type="dxa"/>
              <w:right w:w="80" w:type="dxa"/>
            </w:tcMar>
            <w:vAlign w:val="center"/>
          </w:tcPr>
          <w:p>
            <w:pPr>
              <w:suppressAutoHyphens/>
              <w:adjustRightInd w:val="0"/>
              <w:snapToGrid w:val="0"/>
              <w:spacing w:line="0" w:lineRule="atLeast"/>
              <w:jc w:val="center"/>
              <w:rPr>
                <w:rFonts w:ascii="黑体" w:hAnsi="黑体" w:eastAsia="黑体" w:cs="Times New Roman"/>
                <w:szCs w:val="21"/>
                <w14:ligatures w14:val="none"/>
              </w:rPr>
            </w:pPr>
            <w:r>
              <w:rPr>
                <w:rFonts w:hint="eastAsia" w:ascii="黑体" w:hAnsi="黑体" w:eastAsia="黑体" w:cs="Times New Roman"/>
                <w:szCs w:val="21"/>
                <w14:ligatures w14:val="none"/>
              </w:rPr>
              <w:t>创赛名称</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黑体" w:hAnsi="黑体" w:eastAsia="黑体" w:cs="Times New Roman"/>
                <w:szCs w:val="21"/>
                <w14:ligatures w14:val="none"/>
              </w:rPr>
            </w:pPr>
            <w:r>
              <w:rPr>
                <w:rFonts w:hint="eastAsia" w:ascii="黑体" w:hAnsi="黑体" w:eastAsia="黑体" w:cs="Times New Roman"/>
                <w:szCs w:val="21"/>
                <w14:ligatures w14:val="none"/>
              </w:rPr>
              <w:t>获奖名次</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黑体" w:hAnsi="黑体" w:eastAsia="黑体" w:cs="Times New Roman"/>
                <w:szCs w:val="21"/>
                <w14:ligatures w14:val="none"/>
              </w:rPr>
            </w:pPr>
            <w:r>
              <w:rPr>
                <w:rFonts w:hint="eastAsia" w:ascii="黑体" w:hAnsi="黑体" w:eastAsia="黑体" w:cs="Times New Roman"/>
                <w:szCs w:val="21"/>
                <w14:ligatures w14:val="none"/>
              </w:rPr>
              <w:t>最高支持金额（万元）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restar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中国创新创业大赛</w:t>
            </w:r>
          </w:p>
          <w:p>
            <w:pPr>
              <w:suppressAutoHyphens/>
              <w:spacing w:line="0" w:lineRule="atLeast"/>
              <w:contextualSpacing/>
              <w:jc w:val="center"/>
              <w:rPr>
                <w:rFonts w:ascii="楷体_GB2312" w:hAnsi="Times New Roman" w:eastAsia="楷体_GB2312" w:cs="Times New Roman"/>
                <w:sz w:val="32"/>
                <w:szCs w:val="32"/>
                <w14:ligatures w14:val="none"/>
              </w:rPr>
            </w:pPr>
            <w:r>
              <w:rPr>
                <w:rFonts w:hint="eastAsia" w:ascii="楷体_GB2312" w:hAnsi="Times New Roman" w:eastAsia="楷体_GB2312" w:cs="Times New Roman"/>
                <w:szCs w:val="21"/>
                <w14:ligatures w14:val="none"/>
              </w:rPr>
              <w:t>（科技部主办）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总决赛初创组、成长组金奖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总决赛初创组、成长组银奖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总决赛初创组、成长组铜奖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restar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“创客中国”中小企业创新创业大赛</w:t>
            </w:r>
          </w:p>
          <w:p>
            <w:pPr>
              <w:suppressAutoHyphens/>
              <w:spacing w:line="0" w:lineRule="atLeast"/>
              <w:contextualSpacing/>
              <w:jc w:val="center"/>
              <w:rPr>
                <w:rFonts w:ascii="仿宋_GB2312" w:hAnsi="Times New Roman" w:eastAsia="仿宋_GB2312" w:cs="Times New Roman"/>
                <w:sz w:val="32"/>
                <w:szCs w:val="32"/>
                <w14:ligatures w14:val="none"/>
              </w:rPr>
            </w:pPr>
            <w:r>
              <w:rPr>
                <w:rFonts w:hint="eastAsia" w:ascii="楷体_GB2312" w:hAnsi="Times New Roman" w:eastAsia="楷体_GB2312" w:cs="Times New Roman"/>
                <w:szCs w:val="21"/>
                <w14:ligatures w14:val="none"/>
              </w:rPr>
              <w:t>（工信部主办）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总决赛企业组、创客组一等奖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总决赛企业组、创客组二等奖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总决赛企业组、创客组三等奖</w:t>
            </w:r>
          </w:p>
        </w:tc>
        <w:tc>
          <w:tcPr>
            <w:tcW w:w="954" w:type="pct"/>
            <w:tcMar>
              <w:top w:w="80" w:type="dxa"/>
              <w:left w:w="80" w:type="dxa"/>
              <w:bottom w:w="80" w:type="dxa"/>
              <w:right w:w="80" w:type="dxa"/>
            </w:tcMar>
            <w:vAlign w:val="center"/>
          </w:tcPr>
          <w:p>
            <w:pPr>
              <w:tabs>
                <w:tab w:val="left" w:pos="354"/>
              </w:tabs>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2297"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中国国际大学生创新大赛</w:t>
            </w:r>
          </w:p>
          <w:p>
            <w:pPr>
              <w:suppressAutoHyphens/>
              <w:spacing w:line="0" w:lineRule="atLeast"/>
              <w:contextualSpacing/>
              <w:jc w:val="center"/>
              <w:rPr>
                <w:rFonts w:ascii="仿宋_GB2312" w:hAnsi="Times New Roman" w:eastAsia="仿宋_GB2312" w:cs="Times New Roman"/>
                <w:sz w:val="32"/>
                <w:szCs w:val="32"/>
                <w14:ligatures w14:val="none"/>
              </w:rPr>
            </w:pPr>
            <w:r>
              <w:rPr>
                <w:rFonts w:hint="eastAsia" w:ascii="楷体_GB2312" w:hAnsi="Times New Roman" w:eastAsia="楷体_GB2312" w:cs="Times New Roman"/>
                <w:szCs w:val="21"/>
                <w14:ligatures w14:val="none"/>
              </w:rPr>
              <w:t>（教育部主办）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主赛道金奖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restar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HICOOL 全球创业大赛</w:t>
            </w:r>
          </w:p>
          <w:p>
            <w:pPr>
              <w:suppressAutoHyphens/>
              <w:spacing w:line="0" w:lineRule="atLeast"/>
              <w:contextualSpacing/>
              <w:jc w:val="center"/>
              <w:rPr>
                <w:rFonts w:ascii="仿宋_GB2312" w:hAnsi="Times New Roman" w:eastAsia="仿宋_GB2312" w:cs="Times New Roman"/>
                <w:sz w:val="32"/>
                <w:szCs w:val="32"/>
                <w14:ligatures w14:val="none"/>
              </w:rPr>
            </w:pPr>
            <w:r>
              <w:rPr>
                <w:rFonts w:hint="eastAsia" w:ascii="楷体_GB2312" w:hAnsi="Times New Roman" w:eastAsia="楷体_GB2312" w:cs="Times New Roman"/>
                <w:szCs w:val="21"/>
                <w14:ligatures w14:val="none"/>
              </w:rPr>
              <w:t>（北京海外高层次人才协会主办）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总决赛一等奖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总决赛二等奖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总决赛三等奖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restart"/>
            <w:tcMar>
              <w:top w:w="80" w:type="dxa"/>
              <w:left w:w="80" w:type="dxa"/>
              <w:bottom w:w="80" w:type="dxa"/>
              <w:right w:w="80" w:type="dxa"/>
            </w:tcMar>
            <w:vAlign w:val="center"/>
          </w:tcPr>
          <w:p>
            <w:pPr>
              <w:suppressAutoHyphens/>
              <w:spacing w:line="0" w:lineRule="atLeast"/>
              <w:contextualSpacing/>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中关村国际前沿科技创新大赛</w:t>
            </w:r>
          </w:p>
          <w:p>
            <w:pPr>
              <w:suppressAutoHyphens/>
              <w:spacing w:line="0" w:lineRule="atLeast"/>
              <w:contextualSpacing/>
              <w:jc w:val="center"/>
              <w:rPr>
                <w:rFonts w:ascii="仿宋_GB2312" w:hAnsi="Times New Roman" w:eastAsia="仿宋_GB2312" w:cs="Times New Roman"/>
                <w:szCs w:val="21"/>
                <w14:ligatures w14:val="none"/>
              </w:rPr>
            </w:pPr>
            <w:r>
              <w:rPr>
                <w:rFonts w:hint="eastAsia" w:ascii="楷体_GB2312" w:hAnsi="Times New Roman" w:eastAsia="楷体_GB2312" w:cs="Times New Roman"/>
                <w:szCs w:val="21"/>
                <w14:ligatures w14:val="none"/>
              </w:rPr>
              <w:t>（北京市科委、中关村管委会主办）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总决赛冠军</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总决赛亚军</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总决赛季军</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restar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海淀高价值专利培育大赛</w:t>
            </w:r>
          </w:p>
          <w:p>
            <w:pPr>
              <w:suppressAutoHyphens/>
              <w:spacing w:line="0" w:lineRule="atLeast"/>
              <w:contextualSpacing/>
              <w:jc w:val="center"/>
              <w:rPr>
                <w:rFonts w:ascii="仿宋_GB2312" w:hAnsi="Times New Roman" w:eastAsia="仿宋_GB2312" w:cs="Times New Roman"/>
                <w:sz w:val="32"/>
                <w:szCs w:val="32"/>
                <w14:ligatures w14:val="none"/>
              </w:rPr>
            </w:pPr>
            <w:r>
              <w:rPr>
                <w:rFonts w:hint="eastAsia" w:ascii="楷体_GB2312" w:hAnsi="Times New Roman" w:eastAsia="楷体_GB2312" w:cs="Times New Roman"/>
                <w:szCs w:val="21"/>
                <w14:ligatures w14:val="none"/>
              </w:rPr>
              <w:t>（海淀区市场监管局（区知识产权局）主办）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一等奖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二等奖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三等奖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trPr>
        <w:tc>
          <w:tcPr>
            <w:tcW w:w="2297"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“京彩AI·智汇全球”北京大学生“超级个体”（OPC）创业大赛</w:t>
            </w:r>
          </w:p>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w:t>
            </w:r>
            <w:r>
              <w:rPr>
                <w:rFonts w:hint="eastAsia" w:ascii="楷体_GB2312" w:hAnsi="Times New Roman" w:eastAsia="楷体_GB2312" w:cs="Times New Roman"/>
                <w:szCs w:val="21"/>
                <w14:ligatures w14:val="none"/>
              </w:rPr>
              <w:t>北京市教育委员会、北京市人力资源和社会保障局、北京市发展和改革委员会、中关村科学城管理委员会联合主办</w:t>
            </w:r>
            <w:r>
              <w:rPr>
                <w:rFonts w:hint="eastAsia" w:ascii="仿宋_GB2312" w:hAnsi="Times New Roman" w:eastAsia="仿宋_GB2312" w:cs="Times New Roman"/>
                <w:szCs w:val="21"/>
                <w14:ligatures w14:val="none"/>
              </w:rPr>
              <w:t>）</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一等奖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bl>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措施三</w:t>
      </w:r>
      <w:r>
        <w:rPr>
          <w:rFonts w:hint="eastAsia" w:ascii="仿宋_GB2312" w:hAnsi="仿宋_GB2312" w:eastAsia="仿宋_GB2312" w:cs="仿宋_GB2312"/>
          <w:kern w:val="0"/>
          <w:sz w:val="32"/>
          <w14:ligatures w14:val="none"/>
        </w:rPr>
        <w:t>：提供模型券补贴支持。鼓励OPC使用Openclaw等智能体工具提升智能化水平，对优质OPC给予模型券补贴，符合条件的OPC按照不超过50%标准给予补贴，每家OPC每年补贴上限不超过200万元。</w:t>
      </w:r>
    </w:p>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措施四</w:t>
      </w:r>
      <w:r>
        <w:rPr>
          <w:rFonts w:hint="eastAsia" w:ascii="仿宋_GB2312" w:hAnsi="仿宋_GB2312" w:eastAsia="仿宋_GB2312" w:cs="仿宋_GB2312"/>
          <w:kern w:val="0"/>
          <w:sz w:val="32"/>
          <w14:ligatures w14:val="none"/>
        </w:rPr>
        <w:t>：支持创业青年人才安居。经认定的海淀区重点产业体系内新创办OPC青年创始人，以及成立时间不超3年且近2年获得知名投资机构投资的核心人才</w:t>
      </w:r>
      <w:r>
        <w:rPr>
          <w:rFonts w:hint="eastAsia" w:ascii="Times New Roman" w:hAnsi="Times New Roman" w:eastAsia="仿宋_GB2312" w:cs="Times New Roman"/>
          <w:sz w:val="32"/>
          <w:szCs w:val="32"/>
          <w14:ligatures w14:val="none"/>
        </w:rPr>
        <w:t>（</w:t>
      </w:r>
      <w:r>
        <w:rPr>
          <w:rFonts w:hint="eastAsia" w:ascii="楷体_GB2312" w:hAnsi="楷体_GB2312" w:eastAsia="楷体_GB2312" w:cs="楷体_GB2312"/>
          <w:sz w:val="32"/>
          <w:szCs w:val="32"/>
          <w14:ligatures w14:val="none"/>
        </w:rPr>
        <w:t>每家企业最多申报3人</w:t>
      </w:r>
      <w:r>
        <w:rPr>
          <w:rFonts w:hint="eastAsia" w:ascii="Times New Roman" w:hAnsi="Times New Roman" w:eastAsia="仿宋_GB2312" w:cs="Times New Roman"/>
          <w:sz w:val="32"/>
          <w:szCs w:val="32"/>
          <w14:ligatures w14:val="none"/>
        </w:rPr>
        <w:t>）</w:t>
      </w:r>
      <w:r>
        <w:rPr>
          <w:rFonts w:hint="eastAsia" w:ascii="仿宋_GB2312" w:hAnsi="仿宋_GB2312" w:eastAsia="仿宋_GB2312" w:cs="仿宋_GB2312"/>
          <w:kern w:val="0"/>
          <w:sz w:val="32"/>
          <w14:ligatures w14:val="none"/>
        </w:rPr>
        <w:t>，可定向配租人才保障住房，享受租金5折、最长3年租期优惠。未配租人才保障住房的，可申领每月2000元、最长2年的安居补贴；在海淀北部租赁市场房屋的，增加给予每月1000元安居奖励。</w:t>
      </w:r>
    </w:p>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措施五方向一</w:t>
      </w:r>
      <w:r>
        <w:rPr>
          <w:rFonts w:hint="eastAsia" w:ascii="仿宋_GB2312" w:hAnsi="仿宋_GB2312" w:eastAsia="仿宋_GB2312" w:cs="仿宋_GB2312"/>
          <w:kern w:val="0"/>
          <w:sz w:val="32"/>
          <w14:ligatures w14:val="none"/>
        </w:rPr>
        <w:t>：鼓励OPC依托“海淀区财金协同平台”申请专项贷款支持。OPC通过该平台从合作银行获得贷款后，可享受总计约1.5%的利息补助，单户企业贷款最高支持1000万元。</w:t>
      </w:r>
    </w:p>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措施五方向二</w:t>
      </w:r>
      <w:r>
        <w:rPr>
          <w:rFonts w:hint="eastAsia" w:ascii="仿宋_GB2312" w:hAnsi="仿宋_GB2312" w:eastAsia="仿宋_GB2312" w:cs="仿宋_GB2312"/>
          <w:kern w:val="0"/>
          <w:sz w:val="32"/>
          <w14:ligatures w14:val="none"/>
        </w:rPr>
        <w:t>：面向经认定的OPC开展普惠型综合科技保险统保并给予全额保费支持，单家企业最高支持3年。</w:t>
      </w:r>
    </w:p>
    <w:p>
      <w:pPr>
        <w:suppressAutoHyphens/>
        <w:spacing w:line="560" w:lineRule="exact"/>
        <w:ind w:firstLine="643" w:firstLineChars="200"/>
        <w:rPr>
          <w:rFonts w:hint="eastAsia" w:ascii="仿宋_GB2312" w:hAnsi="仿宋_GB2312" w:eastAsia="仿宋_GB2312" w:cs="仿宋_GB2312"/>
          <w:kern w:val="0"/>
          <w:sz w:val="32"/>
          <w:highlight w:val="none"/>
          <w14:ligatures w14:val="none"/>
        </w:rPr>
      </w:pPr>
      <w:r>
        <w:rPr>
          <w:rFonts w:ascii="仿宋_GB2312" w:hAnsi="仿宋_GB2312" w:eastAsia="仿宋_GB2312" w:cs="仿宋_GB2312"/>
          <w:b/>
          <w:bCs/>
          <w:kern w:val="0"/>
          <w:sz w:val="32"/>
          <w:highlight w:val="none"/>
          <w14:ligatures w14:val="none"/>
        </w:rPr>
        <w:t>措施六</w:t>
      </w:r>
      <w:r>
        <w:rPr>
          <w:rFonts w:hint="eastAsia" w:ascii="仿宋_GB2312" w:hAnsi="仿宋_GB2312" w:eastAsia="仿宋_GB2312" w:cs="仿宋_GB2312"/>
          <w:b/>
          <w:bCs/>
          <w:kern w:val="0"/>
          <w:sz w:val="32"/>
          <w:highlight w:val="none"/>
          <w:lang w:eastAsia="zh-CN"/>
          <w14:ligatures w14:val="none"/>
        </w:rPr>
        <w:t>：</w:t>
      </w:r>
      <w:r>
        <w:rPr>
          <w:rFonts w:hint="eastAsia" w:ascii="仿宋_GB2312" w:hAnsi="仿宋_GB2312" w:eastAsia="仿宋_GB2312" w:cs="仿宋_GB2312"/>
          <w:kern w:val="0"/>
          <w:sz w:val="32"/>
          <w:highlight w:val="none"/>
          <w14:ligatures w14:val="none"/>
        </w:rPr>
        <w:t>支持OPC研发创新。</w:t>
      </w:r>
      <w:r>
        <w:rPr>
          <w:rFonts w:hint="eastAsia" w:ascii="仿宋_GB2312" w:hAnsi="仿宋_GB2312" w:eastAsia="仿宋_GB2312" w:cs="仿宋_GB2312"/>
          <w:kern w:val="0"/>
          <w:sz w:val="32"/>
          <w:highlight w:val="none"/>
          <w:lang w:val="en-US" w:eastAsia="zh-CN"/>
          <w14:ligatures w14:val="none"/>
        </w:rPr>
        <w:t>综合企业研发投入、成果转化、获得知识产权授权、要素工具使用、企业资质等创新情况，</w:t>
      </w:r>
      <w:r>
        <w:rPr>
          <w:rFonts w:hint="eastAsia" w:ascii="仿宋_GB2312" w:hAnsi="仿宋_GB2312" w:eastAsia="仿宋_GB2312" w:cs="仿宋_GB2312"/>
          <w:kern w:val="0"/>
          <w:sz w:val="32"/>
          <w:highlight w:val="none"/>
          <w14:ligatures w14:val="none"/>
        </w:rPr>
        <w:t>给予免申即享支持</w:t>
      </w:r>
      <w:r>
        <w:rPr>
          <w:rFonts w:hint="eastAsia" w:ascii="仿宋_GB2312" w:hAnsi="仿宋_GB2312" w:eastAsia="仿宋_GB2312" w:cs="仿宋_GB2312"/>
          <w:kern w:val="0"/>
          <w:sz w:val="32"/>
          <w:highlight w:val="none"/>
          <w:lang w:eastAsia="zh-CN"/>
          <w14:ligatures w14:val="none"/>
        </w:rPr>
        <w:t>，</w:t>
      </w:r>
      <w:r>
        <w:rPr>
          <w:rFonts w:hint="eastAsia" w:ascii="仿宋_GB2312" w:hAnsi="仿宋_GB2312" w:eastAsia="仿宋_GB2312" w:cs="仿宋_GB2312"/>
          <w:kern w:val="0"/>
          <w:sz w:val="32"/>
          <w:highlight w:val="none"/>
          <w14:ligatures w14:val="none"/>
        </w:rPr>
        <w:t>单家企业最高支持</w:t>
      </w:r>
      <w:r>
        <w:rPr>
          <w:rFonts w:hint="eastAsia" w:ascii="仿宋_GB2312" w:hAnsi="仿宋_GB2312" w:eastAsia="仿宋_GB2312" w:cs="仿宋_GB2312"/>
          <w:kern w:val="0"/>
          <w:sz w:val="32"/>
          <w:highlight w:val="none"/>
          <w:lang w:val="en-US" w:eastAsia="zh-CN"/>
          <w14:ligatures w14:val="none"/>
        </w:rPr>
        <w:t>10万元</w:t>
      </w:r>
      <w:r>
        <w:rPr>
          <w:rFonts w:hint="eastAsia" w:ascii="仿宋_GB2312" w:hAnsi="仿宋_GB2312" w:eastAsia="仿宋_GB2312" w:cs="仿宋_GB2312"/>
          <w:kern w:val="0"/>
          <w:sz w:val="32"/>
          <w:highlight w:val="none"/>
          <w14:ligatures w14:val="none"/>
        </w:rPr>
        <w:t>。</w:t>
      </w:r>
    </w:p>
    <w:p>
      <w:pPr>
        <w:suppressAutoHyphens/>
        <w:spacing w:line="560" w:lineRule="exact"/>
        <w:ind w:firstLine="643"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kern w:val="0"/>
          <w:sz w:val="32"/>
          <w14:ligatures w14:val="none"/>
        </w:rPr>
        <w:t>措施七</w:t>
      </w:r>
      <w:r>
        <w:rPr>
          <w:rFonts w:hint="eastAsia" w:ascii="仿宋_GB2312" w:hAnsi="仿宋_GB2312" w:eastAsia="仿宋_GB2312" w:cs="仿宋_GB2312"/>
          <w:kern w:val="0"/>
          <w:sz w:val="32"/>
          <w14:ligatures w14:val="none"/>
        </w:rPr>
        <w:t>：激励</w:t>
      </w:r>
      <w:r>
        <w:rPr>
          <w:rFonts w:hint="eastAsia" w:ascii="仿宋_GB2312" w:hAnsi="仿宋_GB2312" w:eastAsia="仿宋_GB2312" w:cs="仿宋_GB2312"/>
          <w:sz w:val="32"/>
          <w:szCs w:val="32"/>
          <w14:ligatures w14:val="none"/>
        </w:rPr>
        <w:t>OPC实现商业化突破。对实现首订单的OPC，给予一次性2万元奖励；对于成立两年内累计订单额达到100万元的OPC，给予一次性10万元奖励。对完成首轮融资且融资额度超过100万元的OPC，给予一次性10万元奖励。</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支持条件1：对于经认定的OPC，自成立之日起一年内累计订单金额达到2万元及以上，给予一次性2万元奖励。</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支持条件2：对于经认定的OPC，自成立之日起两年内累计订单金额达到100万元及以上，给予一次性10万元奖励</w:t>
      </w:r>
      <w:r>
        <w:rPr>
          <w:rFonts w:ascii="Times New Roman" w:hAnsi="Times New Roman" w:eastAsia="仿宋_GB2312" w:cs="Times New Roman"/>
          <w:sz w:val="32"/>
          <w:szCs w:val="32"/>
          <w14:ligatures w14:val="none"/>
        </w:rPr>
        <w:t>（</w:t>
      </w:r>
      <w:r>
        <w:rPr>
          <w:rFonts w:hint="eastAsia" w:ascii="楷体_GB2312" w:hAnsi="楷体_GB2312" w:eastAsia="楷体_GB2312" w:cs="楷体_GB2312"/>
          <w:sz w:val="32"/>
          <w:szCs w:val="32"/>
          <w14:ligatures w14:val="none"/>
        </w:rPr>
        <w:t>可与支持条件1重复申报</w:t>
      </w:r>
      <w:r>
        <w:rPr>
          <w:rFonts w:ascii="Times New Roman" w:hAnsi="Times New Roman" w:eastAsia="仿宋_GB2312" w:cs="Times New Roman"/>
          <w:sz w:val="32"/>
          <w:szCs w:val="32"/>
          <w14:ligatures w14:val="none"/>
        </w:rPr>
        <w:t>）。</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支持条件3：对于经认定的OPC，自成立之日起累计融资额度超过100万元，给予一次性10万元奖励。</w:t>
      </w:r>
    </w:p>
    <w:p>
      <w:pPr>
        <w:suppressAutoHyphens/>
        <w:overflowPunct w:val="0"/>
        <w:spacing w:line="560" w:lineRule="exact"/>
        <w:ind w:firstLine="640" w:firstLineChars="200"/>
        <w:rPr>
          <w:rFonts w:hint="eastAsia"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（三）申报材料</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申报措施一</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需提交：</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（1）企业基本情况及需求表</w:t>
      </w:r>
      <w:r>
        <w:rPr>
          <w:rFonts w:hint="eastAsia" w:ascii="仿宋_GB2312" w:hAnsi="仿宋_GB2312" w:eastAsia="仿宋_GB2312" w:cs="仿宋_GB2312"/>
          <w:sz w:val="32"/>
          <w:szCs w:val="32"/>
          <w:highlight w:val="none"/>
          <w:lang w:eastAsia="zh-CN"/>
          <w14:ligatures w14:val="none"/>
        </w:rPr>
        <w:t>（</w:t>
      </w:r>
      <w:r>
        <w:rPr>
          <w:rFonts w:hint="eastAsia" w:ascii="楷体_GB2312" w:hAnsi="楷体_GB2312" w:eastAsia="楷体_GB2312" w:cs="楷体_GB2312"/>
          <w:sz w:val="32"/>
          <w:szCs w:val="32"/>
          <w:highlight w:val="none"/>
          <w:lang w:val="en-US" w:eastAsia="zh-CN"/>
          <w14:ligatures w14:val="none"/>
        </w:rPr>
        <w:t>含对应证明材料</w:t>
      </w:r>
      <w:r>
        <w:rPr>
          <w:rFonts w:hint="eastAsia" w:ascii="仿宋_GB2312" w:hAnsi="仿宋_GB2312" w:eastAsia="仿宋_GB2312" w:cs="仿宋_GB2312"/>
          <w:sz w:val="32"/>
          <w:szCs w:val="32"/>
          <w:highlight w:val="none"/>
          <w:lang w:eastAsia="zh-CN"/>
          <w14:ligatures w14:val="none"/>
        </w:rPr>
        <w:t>）</w:t>
      </w:r>
      <w:r>
        <w:rPr>
          <w:rFonts w:hint="eastAsia" w:ascii="仿宋_GB2312" w:hAnsi="仿宋_GB2312" w:eastAsia="仿宋_GB2312" w:cs="仿宋_GB2312"/>
          <w:sz w:val="32"/>
          <w:szCs w:val="32"/>
          <w14:ligatures w14:val="none"/>
        </w:rPr>
        <w:t>；</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（2）申报承诺书。</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申报措施二</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需提交：</w:t>
      </w:r>
    </w:p>
    <w:p>
      <w:pPr>
        <w:suppressAutoHyphens/>
        <w:spacing w:line="560" w:lineRule="exact"/>
        <w:ind w:firstLine="640" w:firstLineChars="200"/>
        <w:rPr>
          <w:rFonts w:hint="eastAsia" w:ascii="仿宋_GB2312" w:hAnsi="仿宋_GB2312" w:eastAsia="仿宋_GB2312" w:cs="仿宋_GB2312"/>
          <w:kern w:val="0"/>
          <w:sz w:val="32"/>
          <w:szCs w:val="32"/>
          <w:lang w:bidi="ar"/>
          <w14:ligatures w14:val="none"/>
        </w:rPr>
      </w:pPr>
      <w:r>
        <w:rPr>
          <w:rFonts w:hint="eastAsia" w:ascii="仿宋_GB2312" w:hAnsi="仿宋_GB2312" w:eastAsia="仿宋_GB2312" w:cs="仿宋_GB2312"/>
          <w:kern w:val="0"/>
          <w:sz w:val="32"/>
          <w:szCs w:val="32"/>
          <w:lang w:bidi="ar"/>
          <w14:ligatures w14:val="none"/>
        </w:rPr>
        <w:t>对已公开获奖名单的赛事，符合支持条件的OPC无需提交申报材料，由中关村科学城管委会依据公示名单实行免申即享政策支持。对未公开获奖名单的赛事，符合支持条件的OPC需提交</w:t>
      </w:r>
      <w:r>
        <w:rPr>
          <w:rFonts w:ascii="仿宋_GB2312" w:hAnsi="仿宋_GB2312" w:eastAsia="仿宋_GB2312" w:cs="仿宋_GB2312"/>
          <w:kern w:val="0"/>
          <w:sz w:val="32"/>
          <w:szCs w:val="32"/>
          <w:lang w:bidi="ar"/>
          <w14:ligatures w14:val="none"/>
        </w:rPr>
        <w:t>获奖证书、获奖奖杯奖牌。证书等材料原件为实体文件的应提交清晰扫描件，如为电子证书的请提交原件。</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申报措施三</w:t>
      </w:r>
    </w:p>
    <w:p>
      <w:pPr>
        <w:suppressAutoHyphens/>
        <w:spacing w:line="560" w:lineRule="exact"/>
        <w:ind w:firstLine="640" w:firstLineChars="200"/>
        <w:rPr>
          <w:rFonts w:hint="eastAsia" w:ascii="仿宋_GB2312" w:hAnsi="仿宋_GB2312" w:eastAsia="仿宋_GB2312" w:cs="仿宋_GB2312"/>
          <w:sz w:val="32"/>
          <w:szCs w:val="32"/>
          <w:highlight w:val="none"/>
          <w14:ligatures w14:val="none"/>
        </w:rPr>
      </w:pPr>
      <w:r>
        <w:rPr>
          <w:rFonts w:hint="eastAsia" w:ascii="仿宋_GB2312" w:hAnsi="仿宋_GB2312" w:eastAsia="仿宋_GB2312" w:cs="仿宋_GB2312"/>
          <w:sz w:val="32"/>
          <w:szCs w:val="32"/>
          <w:highlight w:val="none"/>
          <w14:ligatures w14:val="none"/>
        </w:rPr>
        <w:t>无需提交申报材料，企业可直接注册登录智谱AI、火山引擎官方平台进行申请，经审核后符合条件的企业可获得模型券支持。</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申报措施四</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需提交：</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（1）</w:t>
      </w:r>
      <w:r>
        <w:rPr>
          <w:rFonts w:ascii="Times New Roman" w:hAnsi="Times New Roman" w:eastAsia="仿宋_GB2312" w:cs="Times New Roman"/>
          <w:sz w:val="32"/>
          <w:szCs w:val="32"/>
          <w14:ligatures w14:val="none"/>
        </w:rPr>
        <w:t>申请人需提交身份、学历等证明材料及《海淀区创业青年人才安居支持申请表》，其中，获知名投资机构投资企业还需提交股权融资证明材料（</w:t>
      </w:r>
      <w:r>
        <w:rPr>
          <w:rFonts w:ascii="Times New Roman" w:hAnsi="Times New Roman" w:eastAsia="楷体_GB2312" w:cs="Times New Roman"/>
          <w:sz w:val="32"/>
          <w:szCs w:val="32"/>
          <w14:ligatures w14:val="none"/>
        </w:rPr>
        <w:t>投资协议及银行到账凭证扫描件等</w:t>
      </w:r>
      <w:r>
        <w:rPr>
          <w:rFonts w:ascii="Times New Roman" w:hAnsi="Times New Roman" w:eastAsia="仿宋_GB2312" w:cs="Times New Roman"/>
          <w:sz w:val="32"/>
          <w:szCs w:val="32"/>
          <w14:ligatures w14:val="none"/>
        </w:rPr>
        <w:t>）及核心人员证明材料。</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如在海淀北部租赁市场房屋，申请安居奖励的，另需提交房屋租赁合同和租金缴纳证明复印件。</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申报措施五方向一</w:t>
      </w:r>
    </w:p>
    <w:p>
      <w:pPr>
        <w:suppressAutoHyphens/>
        <w:spacing w:line="560" w:lineRule="exact"/>
        <w:ind w:firstLine="640" w:firstLineChars="200"/>
        <w:rPr>
          <w:rFonts w:hint="eastAsia" w:ascii="仿宋_GB2312" w:hAnsi="仿宋_GB2312" w:eastAsia="仿宋_GB2312" w:cs="仿宋_GB2312"/>
          <w:sz w:val="32"/>
          <w:szCs w:val="32"/>
          <w:highlight w:val="yellow"/>
          <w14:ligatures w14:val="none"/>
        </w:rPr>
      </w:pPr>
      <w:r>
        <w:rPr>
          <w:rFonts w:hint="eastAsia" w:ascii="仿宋_GB2312" w:hAnsi="仿宋_GB2312" w:eastAsia="仿宋_GB2312" w:cs="仿宋_GB2312"/>
          <w:sz w:val="32"/>
          <w:szCs w:val="32"/>
          <w14:ligatures w14:val="none"/>
        </w:rPr>
        <w:t>无需提交申报材料，企业可直接注册登录海淀区财金协同平台（https://cj.hdzfydjj.com/），点击“海淀区财金协同专项行动-专项行动补贴”模块在线提交申请，经审核后符合条件的企业可获得贷款贴息支持。</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申报措施五方向二</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无需提交申报材料，中关村科学城管委会根据企业在基本情况及需求表中填报的申报险种，为符合条件的企业办理投保手续。</w:t>
      </w:r>
    </w:p>
    <w:p>
      <w:pPr>
        <w:suppressAutoHyphens/>
        <w:spacing w:line="560" w:lineRule="exact"/>
        <w:ind w:firstLine="643" w:firstLineChars="200"/>
        <w:rPr>
          <w:rFonts w:ascii="仿宋_GB2312" w:hAnsi="仿宋_GB2312" w:eastAsia="仿宋_GB2312" w:cs="仿宋_GB2312"/>
          <w:b/>
          <w:bCs/>
          <w:kern w:val="0"/>
          <w:sz w:val="32"/>
          <w14:ligatures w14:val="none"/>
        </w:rPr>
      </w:pPr>
      <w:r>
        <w:rPr>
          <w:rFonts w:ascii="仿宋_GB2312" w:hAnsi="仿宋_GB2312" w:eastAsia="仿宋_GB2312" w:cs="仿宋_GB2312"/>
          <w:b/>
          <w:bCs/>
          <w:kern w:val="0"/>
          <w:sz w:val="32"/>
          <w14:ligatures w14:val="none"/>
        </w:rPr>
        <w:t>措施六</w:t>
      </w:r>
    </w:p>
    <w:p>
      <w:pPr>
        <w:suppressAutoHyphens/>
        <w:spacing w:line="560" w:lineRule="exact"/>
        <w:ind w:firstLine="640" w:firstLineChars="200"/>
        <w:rPr>
          <w:rFonts w:hint="eastAsia" w:ascii="仿宋_GB2312" w:hAnsi="仿宋_GB2312" w:eastAsia="仿宋_GB2312" w:cs="仿宋_GB2312"/>
          <w:b/>
          <w:bCs/>
          <w:sz w:val="32"/>
          <w:szCs w:val="32"/>
          <w:highlight w:val="none"/>
          <w14:ligatures w14:val="none"/>
        </w:rPr>
      </w:pPr>
      <w:r>
        <w:rPr>
          <w:rFonts w:hint="eastAsia" w:ascii="仿宋_GB2312" w:hAnsi="仿宋_GB2312" w:eastAsia="仿宋_GB2312" w:cs="仿宋_GB2312"/>
          <w:kern w:val="0"/>
          <w:sz w:val="32"/>
          <w:highlight w:val="none"/>
          <w:lang w:val="en-US" w:eastAsia="zh-CN"/>
          <w14:ligatures w14:val="none"/>
        </w:rPr>
        <w:t>无需提交申报材料</w:t>
      </w:r>
      <w:r>
        <w:rPr>
          <w:rFonts w:hint="eastAsia" w:ascii="仿宋_GB2312" w:hAnsi="仿宋_GB2312" w:eastAsia="仿宋_GB2312" w:cs="仿宋_GB2312"/>
          <w:kern w:val="0"/>
          <w:sz w:val="32"/>
          <w:highlight w:val="none"/>
          <w14:ligatures w14:val="none"/>
        </w:rPr>
        <w:t>，参照</w:t>
      </w:r>
      <w:r>
        <w:rPr>
          <w:rFonts w:hint="eastAsia" w:ascii="仿宋_GB2312" w:hAnsi="仿宋_GB2312" w:eastAsia="仿宋_GB2312" w:cs="仿宋_GB2312"/>
          <w:kern w:val="0"/>
          <w:sz w:val="32"/>
          <w:highlight w:val="none"/>
          <w:lang w:val="en-US" w:eastAsia="zh-CN"/>
          <w14:ligatures w14:val="none"/>
        </w:rPr>
        <w:t>企业</w:t>
      </w:r>
      <w:r>
        <w:rPr>
          <w:rFonts w:hint="eastAsia" w:ascii="仿宋_GB2312" w:hAnsi="仿宋_GB2312" w:eastAsia="仿宋_GB2312" w:cs="仿宋_GB2312"/>
          <w:kern w:val="0"/>
          <w:sz w:val="32"/>
          <w:highlight w:val="none"/>
          <w14:ligatures w14:val="none"/>
        </w:rPr>
        <w:t>研发</w:t>
      </w:r>
      <w:r>
        <w:rPr>
          <w:rFonts w:hint="eastAsia" w:ascii="仿宋_GB2312" w:hAnsi="仿宋_GB2312" w:eastAsia="仿宋_GB2312" w:cs="仿宋_GB2312"/>
          <w:kern w:val="0"/>
          <w:sz w:val="32"/>
          <w:highlight w:val="none"/>
          <w:lang w:val="en-US" w:eastAsia="zh-CN"/>
          <w14:ligatures w14:val="none"/>
        </w:rPr>
        <w:t>创新情况给予免申即享支持</w:t>
      </w:r>
      <w:r>
        <w:rPr>
          <w:rFonts w:hint="eastAsia" w:ascii="仿宋_GB2312" w:hAnsi="仿宋_GB2312" w:eastAsia="仿宋_GB2312" w:cs="仿宋_GB2312"/>
          <w:kern w:val="0"/>
          <w:sz w:val="32"/>
          <w:highlight w:val="none"/>
          <w14:ligatures w14:val="none"/>
        </w:rPr>
        <w:t>。</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申报措施七</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需</w:t>
      </w:r>
      <w:r>
        <w:rPr>
          <w:rFonts w:hint="eastAsia" w:ascii="仿宋_GB2312" w:hAnsi="仿宋_GB2312" w:eastAsia="仿宋_GB2312" w:cs="仿宋_GB2312"/>
          <w:sz w:val="32"/>
          <w:szCs w:val="32"/>
          <w14:ligatures w14:val="none"/>
        </w:rPr>
        <w:t>提交</w:t>
      </w:r>
      <w:r>
        <w:rPr>
          <w:rFonts w:hint="eastAsia" w:ascii="Times New Roman" w:hAnsi="Times New Roman" w:eastAsia="仿宋_GB2312" w:cs="Times New Roman"/>
          <w:sz w:val="32"/>
          <w:szCs w:val="32"/>
          <w14:ligatures w14:val="none"/>
        </w:rPr>
        <w:t>：</w:t>
      </w:r>
    </w:p>
    <w:p>
      <w:pPr>
        <w:suppressAutoHyphens/>
        <w:spacing w:line="56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（1）订单证明材料，包括合同、交易记录、发票、银行到款凭证扫描件等（</w:t>
      </w:r>
      <w:r>
        <w:rPr>
          <w:rFonts w:hint="eastAsia" w:ascii="楷体_GB2312" w:hAnsi="楷体_GB2312" w:eastAsia="楷体_GB2312" w:cs="楷体_GB2312"/>
          <w:sz w:val="32"/>
          <w:szCs w:val="32"/>
          <w14:ligatures w14:val="none"/>
        </w:rPr>
        <w:t>申报支持条件1、2需提交</w:t>
      </w:r>
      <w:r>
        <w:rPr>
          <w:rFonts w:hint="eastAsia" w:ascii="仿宋_GB2312" w:hAnsi="仿宋_GB2312" w:eastAsia="仿宋_GB2312" w:cs="仿宋_GB2312"/>
          <w:sz w:val="32"/>
          <w:szCs w:val="32"/>
          <w14:ligatures w14:val="none"/>
        </w:rPr>
        <w:t>）；</w:t>
      </w:r>
    </w:p>
    <w:p>
      <w:pPr>
        <w:suppressAutoHyphens/>
        <w:spacing w:line="56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（2）投资协议及银行到账凭证扫描件等（</w:t>
      </w:r>
      <w:r>
        <w:rPr>
          <w:rFonts w:hint="eastAsia" w:ascii="楷体_GB2312" w:hAnsi="楷体_GB2312" w:eastAsia="楷体_GB2312" w:cs="楷体_GB2312"/>
          <w:sz w:val="32"/>
          <w:szCs w:val="32"/>
          <w14:ligatures w14:val="none"/>
        </w:rPr>
        <w:t>申报支持条件3需提交</w:t>
      </w:r>
      <w:r>
        <w:rPr>
          <w:rFonts w:hint="eastAsia" w:ascii="仿宋_GB2312" w:hAnsi="仿宋_GB2312" w:eastAsia="仿宋_GB2312" w:cs="仿宋_GB2312"/>
          <w:sz w:val="32"/>
          <w:szCs w:val="32"/>
          <w14:ligatures w14:val="none"/>
        </w:rPr>
        <w:t>）。</w:t>
      </w:r>
    </w:p>
    <w:p>
      <w:pPr>
        <w:suppressAutoHyphens/>
        <w:spacing w:line="560" w:lineRule="exact"/>
        <w:ind w:firstLine="640" w:firstLineChars="200"/>
        <w:rPr>
          <w:rFonts w:ascii="黑体" w:hAnsi="黑体" w:eastAsia="黑体" w:cs="仿宋_GB2312"/>
          <w:kern w:val="0"/>
          <w:sz w:val="32"/>
          <w:szCs w:val="32"/>
          <w:lang w:bidi="ar"/>
          <w14:ligatures w14:val="none"/>
        </w:rPr>
      </w:pPr>
      <w:r>
        <w:rPr>
          <w:rFonts w:hint="eastAsia" w:ascii="黑体" w:hAnsi="黑体" w:eastAsia="黑体" w:cs="仿宋_GB2312"/>
          <w:kern w:val="0"/>
          <w:sz w:val="32"/>
          <w:szCs w:val="32"/>
          <w:lang w:bidi="ar"/>
          <w14:ligatures w14:val="none"/>
        </w:rPr>
        <w:t>二、OPC友好社区申报主体</w:t>
      </w:r>
    </w:p>
    <w:p>
      <w:pPr>
        <w:suppressAutoHyphens/>
        <w:overflowPunct w:val="0"/>
        <w:spacing w:line="560" w:lineRule="exact"/>
        <w:ind w:firstLine="640" w:firstLineChars="200"/>
        <w:rPr>
          <w:rFonts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（一）申报条件</w:t>
      </w:r>
    </w:p>
    <w:p>
      <w:pPr>
        <w:suppressAutoHyphens/>
        <w:overflowPunct w:val="0"/>
        <w:spacing w:line="56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申请认定为海淀区</w:t>
      </w:r>
      <w:r>
        <w:rPr>
          <w:rFonts w:hint="eastAsia" w:ascii="仿宋_GB2312" w:hAnsi="仿宋_GB2312" w:eastAsia="仿宋_GB2312" w:cs="仿宋_GB2312"/>
          <w:sz w:val="32"/>
          <w:szCs w:val="32"/>
          <w14:ligatures w14:val="none"/>
        </w:rPr>
        <w:t>OPC创业友好社区</w:t>
      </w:r>
      <w:r>
        <w:rPr>
          <w:rFonts w:ascii="Times New Roman" w:hAnsi="Times New Roman" w:eastAsia="仿宋_GB2312" w:cs="Times New Roman"/>
          <w:sz w:val="32"/>
          <w:szCs w:val="32"/>
          <w14:ligatures w14:val="none"/>
        </w:rPr>
        <w:t>，必须同时满足以下全部条件：</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1.社区具备管理运营主体，运营主体在海淀区合法经营并稳定运营一年以上。社区拥有专业化运营服务团队，专职OPC服务人员不少于2人。</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2.社区自主支配场地面积不低于1000平方米，或能够提供不少于50个OPC创业者工位，须配套路演场所、会议室等公共服务场地及设施。</w:t>
      </w:r>
    </w:p>
    <w:p>
      <w:pPr>
        <w:suppressAutoHyphens/>
        <w:overflowPunct w:val="0"/>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3.社区内已培育不少于10家OPC</w:t>
      </w:r>
      <w:r>
        <w:rPr>
          <w:rFonts w:ascii="Times New Roman" w:hAnsi="Times New Roman" w:eastAsia="仿宋_GB2312" w:cs="Times New Roman"/>
          <w:sz w:val="32"/>
          <w:szCs w:val="32"/>
          <w14:ligatures w14:val="none"/>
        </w:rPr>
        <w:t>（</w:t>
      </w:r>
      <w:r>
        <w:rPr>
          <w:rFonts w:ascii="Times New Roman" w:hAnsi="Times New Roman" w:eastAsia="楷体_GB2312" w:cs="Times New Roman"/>
          <w:sz w:val="32"/>
          <w:szCs w:val="32"/>
          <w14:ligatures w14:val="none"/>
        </w:rPr>
        <w:t>需满足海淀区</w:t>
      </w:r>
      <w:r>
        <w:rPr>
          <w:rFonts w:hint="eastAsia" w:ascii="楷体_GB2312" w:hAnsi="楷体_GB2312" w:eastAsia="楷体_GB2312" w:cs="楷体_GB2312"/>
          <w:sz w:val="32"/>
          <w:szCs w:val="32"/>
          <w14:ligatures w14:val="none"/>
        </w:rPr>
        <w:t>OPC</w:t>
      </w:r>
      <w:r>
        <w:rPr>
          <w:rFonts w:ascii="Times New Roman" w:hAnsi="Times New Roman" w:eastAsia="楷体_GB2312" w:cs="Times New Roman"/>
          <w:sz w:val="32"/>
          <w:szCs w:val="32"/>
          <w14:ligatures w14:val="none"/>
        </w:rPr>
        <w:t>认定标准</w:t>
      </w:r>
      <w:r>
        <w:rPr>
          <w:rFonts w:ascii="Times New Roman" w:hAnsi="Times New Roman" w:eastAsia="仿宋_GB2312" w:cs="Times New Roman"/>
          <w:sz w:val="32"/>
          <w:szCs w:val="32"/>
          <w14:ligatures w14:val="none"/>
        </w:rPr>
        <w:t>），且具备持续吸引和服务</w:t>
      </w:r>
      <w:r>
        <w:rPr>
          <w:rFonts w:hint="eastAsia" w:ascii="仿宋_GB2312" w:hAnsi="仿宋_GB2312" w:eastAsia="仿宋_GB2312" w:cs="仿宋_GB2312"/>
          <w:sz w:val="32"/>
          <w:szCs w:val="32"/>
          <w14:ligatures w14:val="none"/>
        </w:rPr>
        <w:t>OPC</w:t>
      </w:r>
      <w:r>
        <w:rPr>
          <w:rFonts w:ascii="Times New Roman" w:hAnsi="Times New Roman" w:eastAsia="仿宋_GB2312" w:cs="Times New Roman"/>
          <w:sz w:val="32"/>
          <w:szCs w:val="32"/>
          <w14:ligatures w14:val="none"/>
        </w:rPr>
        <w:t>的能力。</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4.社区能够面向各类科技社区社群活动提供场地支持，每年开展技术沙龙、专题研讨、技能培训、项目路演等OPC生态活动不少于30场次。</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5.社区须构建覆盖OPC全成长周期的专业化服务能力，包括但不限于，人工智能核心要素和生产工具、商业与法律服务、资本对接、政策辅导服务等。</w:t>
      </w:r>
    </w:p>
    <w:p>
      <w:pPr>
        <w:suppressAutoHyphens/>
        <w:overflowPunct w:val="0"/>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6.社区运营主体无严重违法违规记录和不良信用记录。</w:t>
      </w:r>
    </w:p>
    <w:p>
      <w:pPr>
        <w:suppressAutoHyphens/>
        <w:overflowPunct w:val="0"/>
        <w:spacing w:line="560" w:lineRule="exact"/>
        <w:ind w:firstLine="640" w:firstLineChars="200"/>
        <w:rPr>
          <w:rFonts w:hint="eastAsia"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（二）支持政策</w:t>
      </w:r>
    </w:p>
    <w:p>
      <w:pPr>
        <w:suppressAutoHyphens/>
        <w:spacing w:line="560" w:lineRule="exact"/>
        <w:ind w:firstLine="643" w:firstLineChars="200"/>
        <w:rPr>
          <w:rFonts w:hint="eastAsia" w:ascii="仿宋_GB2312" w:hAnsi="仿宋_GB2312" w:eastAsia="仿宋_GB2312" w:cs="仿宋_GB2312"/>
          <w:sz w:val="32"/>
          <w:szCs w:val="24"/>
          <w14:ligatures w14:val="none"/>
        </w:rPr>
      </w:pPr>
      <w:r>
        <w:rPr>
          <w:rFonts w:hint="eastAsia" w:ascii="仿宋_GB2312" w:hAnsi="仿宋_GB2312" w:eastAsia="仿宋_GB2312" w:cs="仿宋_GB2312"/>
          <w:b/>
          <w:bCs/>
          <w:kern w:val="0"/>
          <w:sz w:val="32"/>
          <w14:ligatures w14:val="none"/>
        </w:rPr>
        <w:t>措施八</w:t>
      </w:r>
      <w:r>
        <w:rPr>
          <w:rFonts w:hint="eastAsia" w:ascii="仿宋_GB2312" w:hAnsi="仿宋_GB2312" w:eastAsia="仿宋_GB2312" w:cs="仿宋_GB2312"/>
          <w:kern w:val="0"/>
          <w:sz w:val="32"/>
          <w14:ligatures w14:val="none"/>
        </w:rPr>
        <w:t>：支持建设OPC友好社区。鼓励园区和孵化器积极打造</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14:ligatures w14:val="none"/>
        </w:rPr>
        <w:t>创业友好社区，对经认定的</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14:ligatures w14:val="none"/>
        </w:rPr>
        <w:t>创业友好社区，按照其培育</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14:ligatures w14:val="none"/>
        </w:rPr>
        <w:t>数量，每年给予最高200万元资金支持</w:t>
      </w:r>
      <w:r>
        <w:rPr>
          <w:rFonts w:hint="eastAsia" w:ascii="仿宋_GB2312" w:hAnsi="仿宋_GB2312" w:eastAsia="仿宋_GB2312" w:cs="仿宋_GB2312"/>
          <w:sz w:val="32"/>
          <w:szCs w:val="24"/>
          <w14:ligatures w14:val="none"/>
        </w:rPr>
        <w:t>。</w:t>
      </w:r>
    </w:p>
    <w:p>
      <w:pPr>
        <w:suppressAutoHyphens/>
        <w:spacing w:line="560" w:lineRule="exact"/>
        <w:ind w:firstLine="640" w:firstLineChars="200"/>
        <w:rPr>
          <w:rFonts w:hint="eastAsia" w:ascii="仿宋_GB2312" w:hAnsi="仿宋_GB2312" w:eastAsia="仿宋_GB2312" w:cs="仿宋_GB2312"/>
          <w:sz w:val="32"/>
          <w:szCs w:val="24"/>
          <w:highlight w:val="yellow"/>
          <w14:ligatures w14:val="none"/>
        </w:rPr>
      </w:pPr>
      <w:r>
        <w:rPr>
          <w:rFonts w:hint="eastAsia" w:ascii="仿宋_GB2312" w:hAnsi="仿宋_GB2312" w:eastAsia="仿宋_GB2312" w:cs="仿宋_GB2312"/>
          <w:sz w:val="32"/>
          <w:szCs w:val="24"/>
          <w14:ligatures w14:val="none"/>
        </w:rPr>
        <w:t>支持条件1：经认定为</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sz w:val="32"/>
          <w:szCs w:val="24"/>
          <w14:ligatures w14:val="none"/>
        </w:rPr>
        <w:t>创业友好社区，培育</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sz w:val="32"/>
          <w:szCs w:val="24"/>
          <w14:ligatures w14:val="none"/>
        </w:rPr>
        <w:t>达到10家的，给予30万元资金支持。培育</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sz w:val="32"/>
          <w:szCs w:val="24"/>
          <w14:ligatures w14:val="none"/>
        </w:rPr>
        <w:t>超过10家的，每新增一家，额外给予2万元资金支持</w:t>
      </w:r>
      <w:r>
        <w:rPr>
          <w:rFonts w:hint="eastAsia" w:ascii="仿宋_GB2312" w:hAnsi="仿宋_GB2312" w:eastAsia="仿宋_GB2312" w:cs="仿宋_GB2312"/>
          <w:sz w:val="32"/>
          <w:szCs w:val="32"/>
          <w14:ligatures w14:val="none"/>
        </w:rPr>
        <w:t>。</w:t>
      </w:r>
    </w:p>
    <w:p>
      <w:pPr>
        <w:suppressAutoHyphens/>
        <w:overflowPunct w:val="0"/>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支持条件2：经认定为OPC创业友好社区，以自建、合作或其他便捷接入方式，为OPC提供稳定、可靠、性价比高的人工智能核心要素和生产工具</w:t>
      </w:r>
      <w:r>
        <w:rPr>
          <w:rFonts w:ascii="Times New Roman" w:hAnsi="Times New Roman" w:eastAsia="仿宋_GB2312" w:cs="Times New Roman"/>
          <w:sz w:val="32"/>
          <w:szCs w:val="32"/>
          <w14:ligatures w14:val="none"/>
        </w:rPr>
        <w:t>（</w:t>
      </w:r>
      <w:r>
        <w:rPr>
          <w:rFonts w:ascii="Times New Roman" w:hAnsi="Times New Roman" w:eastAsia="楷体_GB2312" w:cs="Times New Roman"/>
          <w:sz w:val="32"/>
          <w:szCs w:val="32"/>
          <w14:ligatures w14:val="none"/>
        </w:rPr>
        <w:t>包括但不限于算力、数据集、模型、智能体等</w:t>
      </w:r>
      <w:r>
        <w:rPr>
          <w:rFonts w:ascii="Times New Roman" w:hAnsi="Times New Roman" w:eastAsia="仿宋_GB2312" w:cs="Times New Roman"/>
          <w:sz w:val="32"/>
          <w:szCs w:val="32"/>
          <w14:ligatures w14:val="none"/>
        </w:rPr>
        <w:t>）</w:t>
      </w:r>
      <w:r>
        <w:rPr>
          <w:rFonts w:hint="eastAsia" w:ascii="仿宋_GB2312" w:hAnsi="仿宋_GB2312" w:eastAsia="仿宋_GB2312" w:cs="仿宋_GB2312"/>
          <w:sz w:val="32"/>
          <w:szCs w:val="32"/>
          <w14:ligatures w14:val="none"/>
        </w:rPr>
        <w:t>的服务平台，根据其资金投入50%最高给予20万元资金支持。</w:t>
      </w:r>
    </w:p>
    <w:p>
      <w:pPr>
        <w:suppressAutoHyphens/>
        <w:spacing w:line="560" w:lineRule="exact"/>
        <w:ind w:firstLine="640"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sz w:val="32"/>
          <w:szCs w:val="32"/>
          <w14:ligatures w14:val="none"/>
        </w:rPr>
        <w:t>支持条件1、2合计支持金额最高不超过200万元。</w:t>
      </w:r>
    </w:p>
    <w:p>
      <w:pPr>
        <w:suppressAutoHyphens/>
        <w:overflowPunct w:val="0"/>
        <w:spacing w:line="560" w:lineRule="exact"/>
        <w:ind w:firstLine="640" w:firstLineChars="200"/>
        <w:rPr>
          <w:rFonts w:hint="eastAsia"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（三）申报材料</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申报措施八</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需</w:t>
      </w:r>
      <w:r>
        <w:rPr>
          <w:rFonts w:hint="eastAsia" w:ascii="仿宋_GB2312" w:hAnsi="仿宋_GB2312" w:eastAsia="仿宋_GB2312" w:cs="仿宋_GB2312"/>
          <w:sz w:val="32"/>
          <w:szCs w:val="32"/>
          <w14:ligatures w14:val="none"/>
        </w:rPr>
        <w:t>提交</w:t>
      </w:r>
      <w:r>
        <w:rPr>
          <w:rFonts w:hint="eastAsia" w:ascii="Times New Roman" w:hAnsi="Times New Roman" w:eastAsia="仿宋_GB2312" w:cs="Times New Roman"/>
          <w:sz w:val="32"/>
          <w:szCs w:val="32"/>
          <w14:ligatures w14:val="none"/>
        </w:rPr>
        <w:t>：</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（1）</w:t>
      </w:r>
      <w:r>
        <w:rPr>
          <w:rFonts w:ascii="Times New Roman" w:hAnsi="Times New Roman" w:eastAsia="仿宋_GB2312" w:cs="Times New Roman"/>
          <w:sz w:val="32"/>
          <w:szCs w:val="32"/>
          <w14:ligatures w14:val="none"/>
        </w:rPr>
        <w:t>申报单位需提供友好社区基本情况</w:t>
      </w:r>
      <w:r>
        <w:rPr>
          <w:rFonts w:hint="eastAsia" w:ascii="Times New Roman" w:hAnsi="Times New Roman" w:eastAsia="仿宋_GB2312" w:cs="Times New Roman"/>
          <w:sz w:val="32"/>
          <w:szCs w:val="32"/>
          <w14:ligatures w14:val="none"/>
        </w:rPr>
        <w:t>表</w:t>
      </w:r>
      <w:r>
        <w:rPr>
          <w:rFonts w:ascii="Times New Roman" w:hAnsi="Times New Roman" w:eastAsia="仿宋_GB2312" w:cs="Times New Roman"/>
          <w:sz w:val="32"/>
          <w:szCs w:val="32"/>
          <w14:ligatures w14:val="none"/>
        </w:rPr>
        <w:t>、</w:t>
      </w:r>
      <w:r>
        <w:rPr>
          <w:rFonts w:hint="eastAsia" w:ascii="仿宋_GB2312" w:hAnsi="仿宋_GB2312" w:eastAsia="仿宋_GB2312" w:cs="仿宋_GB2312"/>
          <w:sz w:val="32"/>
          <w:szCs w:val="32"/>
          <w14:ligatures w14:val="none"/>
        </w:rPr>
        <w:t>OPC</w:t>
      </w:r>
      <w:r>
        <w:rPr>
          <w:rFonts w:ascii="Times New Roman" w:hAnsi="Times New Roman" w:eastAsia="仿宋_GB2312" w:cs="Times New Roman"/>
          <w:sz w:val="32"/>
          <w:szCs w:val="32"/>
          <w14:ligatures w14:val="none"/>
        </w:rPr>
        <w:t>服务合同</w:t>
      </w:r>
      <w:r>
        <w:rPr>
          <w:rFonts w:hint="eastAsia" w:ascii="Times New Roman" w:hAnsi="Times New Roman" w:eastAsia="仿宋_GB2312" w:cs="Times New Roman"/>
          <w:sz w:val="32"/>
          <w:szCs w:val="32"/>
          <w14:ligatures w14:val="none"/>
        </w:rPr>
        <w:t>（</w:t>
      </w:r>
      <w:r>
        <w:rPr>
          <w:rFonts w:hint="eastAsia" w:ascii="楷体_GB2312" w:hAnsi="楷体_GB2312" w:eastAsia="楷体_GB2312" w:cs="楷体_GB2312"/>
          <w:sz w:val="32"/>
          <w:szCs w:val="32"/>
          <w14:ligatures w14:val="none"/>
        </w:rPr>
        <w:t>含入驻、孵化协议</w:t>
      </w:r>
      <w:r>
        <w:rPr>
          <w:rFonts w:hint="eastAsia" w:ascii="Times New Roman" w:hAnsi="Times New Roman" w:eastAsia="仿宋_GB2312" w:cs="Times New Roman"/>
          <w:sz w:val="32"/>
          <w:szCs w:val="32"/>
          <w14:ligatures w14:val="none"/>
        </w:rPr>
        <w:t>）</w:t>
      </w:r>
      <w:r>
        <w:rPr>
          <w:rFonts w:ascii="Times New Roman" w:hAnsi="Times New Roman" w:eastAsia="仿宋_GB2312" w:cs="Times New Roman"/>
          <w:sz w:val="32"/>
          <w:szCs w:val="32"/>
          <w14:ligatures w14:val="none"/>
        </w:rPr>
        <w:t>、开展相关活动的证明材料（</w:t>
      </w:r>
      <w:r>
        <w:rPr>
          <w:rFonts w:ascii="Times New Roman" w:hAnsi="Times New Roman" w:eastAsia="楷体_GB2312" w:cs="Times New Roman"/>
          <w:sz w:val="32"/>
          <w:szCs w:val="32"/>
          <w14:ligatures w14:val="none"/>
        </w:rPr>
        <w:t>同一</w:t>
      </w:r>
      <w:r>
        <w:rPr>
          <w:rFonts w:hint="eastAsia" w:ascii="楷体_GB2312" w:hAnsi="楷体_GB2312" w:eastAsia="楷体_GB2312" w:cs="楷体_GB2312"/>
          <w:sz w:val="32"/>
          <w:szCs w:val="32"/>
          <w14:ligatures w14:val="none"/>
        </w:rPr>
        <w:t>OPC</w:t>
      </w:r>
      <w:r>
        <w:rPr>
          <w:rFonts w:ascii="Times New Roman" w:hAnsi="Times New Roman" w:eastAsia="楷体_GB2312" w:cs="Times New Roman"/>
          <w:sz w:val="32"/>
          <w:szCs w:val="32"/>
          <w14:ligatures w14:val="none"/>
        </w:rPr>
        <w:t>原则上只能入驻一家</w:t>
      </w:r>
      <w:r>
        <w:rPr>
          <w:rFonts w:hint="eastAsia" w:ascii="楷体_GB2312" w:hAnsi="楷体_GB2312" w:eastAsia="楷体_GB2312" w:cs="楷体_GB2312"/>
          <w:sz w:val="32"/>
          <w:szCs w:val="32"/>
          <w14:ligatures w14:val="none"/>
        </w:rPr>
        <w:t>OPC</w:t>
      </w:r>
      <w:r>
        <w:rPr>
          <w:rFonts w:ascii="Times New Roman" w:hAnsi="Times New Roman" w:eastAsia="楷体_GB2312" w:cs="Times New Roman"/>
          <w:sz w:val="32"/>
          <w:szCs w:val="32"/>
          <w14:ligatures w14:val="none"/>
        </w:rPr>
        <w:t>社区。若存在两家或以上</w:t>
      </w:r>
      <w:r>
        <w:rPr>
          <w:rFonts w:hint="eastAsia" w:ascii="楷体_GB2312" w:hAnsi="楷体_GB2312" w:eastAsia="楷体_GB2312" w:cs="楷体_GB2312"/>
          <w:sz w:val="32"/>
          <w:szCs w:val="32"/>
          <w14:ligatures w14:val="none"/>
        </w:rPr>
        <w:t>OPC</w:t>
      </w:r>
      <w:r>
        <w:rPr>
          <w:rFonts w:ascii="Times New Roman" w:hAnsi="Times New Roman" w:eastAsia="楷体_GB2312" w:cs="Times New Roman"/>
          <w:sz w:val="32"/>
          <w:szCs w:val="32"/>
          <w14:ligatures w14:val="none"/>
        </w:rPr>
        <w:t>社区认定同一企业为社区内入驻</w:t>
      </w:r>
      <w:r>
        <w:rPr>
          <w:rFonts w:hint="eastAsia" w:ascii="楷体_GB2312" w:hAnsi="楷体_GB2312" w:eastAsia="楷体_GB2312" w:cs="楷体_GB2312"/>
          <w:sz w:val="32"/>
          <w:szCs w:val="32"/>
          <w14:ligatures w14:val="none"/>
        </w:rPr>
        <w:t>OPC</w:t>
      </w:r>
      <w:r>
        <w:rPr>
          <w:rFonts w:ascii="Times New Roman" w:hAnsi="Times New Roman" w:eastAsia="楷体_GB2312" w:cs="Times New Roman"/>
          <w:sz w:val="32"/>
          <w:szCs w:val="32"/>
          <w14:ligatures w14:val="none"/>
        </w:rPr>
        <w:t>，需由该企业提交说明确定其归属社区</w:t>
      </w:r>
      <w:r>
        <w:rPr>
          <w:rFonts w:ascii="Times New Roman" w:hAnsi="Times New Roman" w:eastAsia="仿宋_GB2312" w:cs="Times New Roman"/>
          <w:sz w:val="32"/>
          <w:szCs w:val="32"/>
          <w14:ligatures w14:val="none"/>
        </w:rPr>
        <w:t>）。</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（2）申请支持条件2的还需提交社区运营主体为OPC提供人工智能核心要素和生产工具的证明材料及平台建设资金投入的证明材料。</w:t>
      </w:r>
    </w:p>
    <w:p>
      <w:pPr>
        <w:suppressAutoHyphens/>
        <w:spacing w:line="560" w:lineRule="exact"/>
        <w:ind w:firstLine="640" w:firstLineChars="200"/>
        <w:rPr>
          <w:rFonts w:ascii="黑体" w:hAnsi="黑体" w:eastAsia="黑体" w:cs="仿宋_GB2312"/>
          <w:kern w:val="0"/>
          <w:sz w:val="32"/>
          <w:szCs w:val="32"/>
          <w:lang w:bidi="ar"/>
          <w14:ligatures w14:val="none"/>
        </w:rPr>
      </w:pPr>
      <w:r>
        <w:rPr>
          <w:rFonts w:hint="eastAsia" w:ascii="黑体" w:hAnsi="黑体" w:eastAsia="黑体" w:cs="仿宋_GB2312"/>
          <w:kern w:val="0"/>
          <w:sz w:val="32"/>
          <w:szCs w:val="32"/>
          <w:lang w:bidi="ar"/>
          <w14:ligatures w14:val="none"/>
        </w:rPr>
        <w:t>三</w:t>
      </w:r>
      <w:r>
        <w:rPr>
          <w:rFonts w:ascii="黑体" w:hAnsi="黑体" w:eastAsia="黑体" w:cs="仿宋_GB2312"/>
          <w:kern w:val="0"/>
          <w:sz w:val="32"/>
          <w:szCs w:val="32"/>
          <w:lang w:bidi="ar"/>
          <w14:ligatures w14:val="none"/>
        </w:rPr>
        <w:t>、申报方式及注意事项</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1.登录北京市人民政府门户网站“政策服务”—“政策兑现”—“项目申报”栏目（https://zhengce.beijing.gov.cn），选择相对应的项目进行线上申报。</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2.申报单位应保证提交的申报材料真实、合法、有效，对申报材料真实性做出承诺并对此承担法律责任。</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3.本单位从未指定、授权或委托任何机构和个人从事本项目申报的相关培训、代理申报等活动，任何机构和个人的此类活动与本项目无关。整个申报过程中，我单位不收取任何费用。</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4.为提升政策实施成效，本专项将先行启动措施一的申报审核工作，审核完成后，将以短信形式告知通过审核的申报主体，随后启动其他措施条目的申报受理工作。申报措施三、措施五方向一的主体，可依据相关政策要求自主申报，其申报受理及审核工作不受措施一审核结果影响。</w:t>
      </w:r>
    </w:p>
    <w:p>
      <w:pPr>
        <w:suppressAutoHyphens/>
        <w:spacing w:line="560" w:lineRule="exact"/>
        <w:ind w:firstLine="640" w:firstLineChars="200"/>
        <w:rPr>
          <w:rFonts w:ascii="黑体" w:hAnsi="黑体" w:eastAsia="黑体" w:cs="仿宋_GB2312"/>
          <w:kern w:val="0"/>
          <w:sz w:val="32"/>
          <w:szCs w:val="32"/>
          <w:lang w:bidi="ar"/>
          <w14:ligatures w14:val="none"/>
        </w:rPr>
      </w:pPr>
      <w:r>
        <w:rPr>
          <w:rFonts w:hint="eastAsia" w:ascii="黑体" w:hAnsi="黑体" w:eastAsia="黑体" w:cs="仿宋_GB2312"/>
          <w:kern w:val="0"/>
          <w:sz w:val="32"/>
          <w:szCs w:val="32"/>
          <w:lang w:bidi="ar"/>
          <w14:ligatures w14:val="none"/>
        </w:rPr>
        <w:t>四</w:t>
      </w:r>
      <w:r>
        <w:rPr>
          <w:rFonts w:ascii="黑体" w:hAnsi="黑体" w:eastAsia="黑体" w:cs="仿宋_GB2312"/>
          <w:kern w:val="0"/>
          <w:sz w:val="32"/>
          <w:szCs w:val="32"/>
          <w:lang w:bidi="ar"/>
          <w14:ligatures w14:val="none"/>
        </w:rPr>
        <w:t>、申报时间及受理单位</w:t>
      </w:r>
    </w:p>
    <w:p>
      <w:pPr>
        <w:suppressAutoHyphens/>
        <w:spacing w:line="560" w:lineRule="exact"/>
        <w:ind w:firstLine="640" w:firstLineChars="200"/>
        <w:rPr>
          <w:rFonts w:hint="eastAsia" w:ascii="仿宋_GB2312" w:hAnsi="仿宋_GB2312" w:eastAsia="仿宋_GB2312" w:cs="仿宋_GB2312"/>
          <w:kern w:val="0"/>
          <w:sz w:val="32"/>
          <w:szCs w:val="32"/>
          <w:lang w:bidi="ar"/>
          <w14:ligatures w14:val="none"/>
        </w:rPr>
      </w:pPr>
      <w:r>
        <w:rPr>
          <w:rFonts w:hint="eastAsia" w:ascii="仿宋_GB2312" w:hAnsi="仿宋_GB2312" w:eastAsia="仿宋_GB2312" w:cs="仿宋_GB2312"/>
          <w:kern w:val="0"/>
          <w:sz w:val="32"/>
          <w:szCs w:val="32"/>
          <w:lang w:bidi="ar"/>
          <w14:ligatures w14:val="none"/>
        </w:rPr>
        <w:t>申报时间：2026年5月</w:t>
      </w:r>
      <w:r>
        <w:rPr>
          <w:rFonts w:hint="eastAsia" w:ascii="仿宋_GB2312" w:hAnsi="仿宋_GB2312" w:eastAsia="仿宋_GB2312" w:cs="仿宋_GB2312"/>
          <w:kern w:val="0"/>
          <w:sz w:val="32"/>
          <w:szCs w:val="32"/>
          <w:lang w:val="en-US" w:eastAsia="zh-CN" w:bidi="ar"/>
          <w14:ligatures w14:val="none"/>
        </w:rPr>
        <w:t>20</w:t>
      </w:r>
      <w:r>
        <w:rPr>
          <w:rFonts w:hint="eastAsia" w:ascii="仿宋_GB2312" w:hAnsi="仿宋_GB2312" w:eastAsia="仿宋_GB2312" w:cs="仿宋_GB2312"/>
          <w:kern w:val="0"/>
          <w:sz w:val="32"/>
          <w:szCs w:val="32"/>
          <w:lang w:bidi="ar"/>
          <w14:ligatures w14:val="none"/>
        </w:rPr>
        <w:t>日—2026年</w:t>
      </w:r>
      <w:r>
        <w:rPr>
          <w:rFonts w:hint="eastAsia" w:ascii="仿宋_GB2312" w:hAnsi="仿宋_GB2312" w:eastAsia="仿宋_GB2312" w:cs="仿宋_GB2312"/>
          <w:kern w:val="0"/>
          <w:sz w:val="32"/>
          <w:szCs w:val="32"/>
          <w:lang w:val="en-US" w:eastAsia="zh-CN" w:bidi="ar"/>
          <w14:ligatures w14:val="none"/>
        </w:rPr>
        <w:t>6</w:t>
      </w:r>
      <w:r>
        <w:rPr>
          <w:rFonts w:hint="eastAsia" w:ascii="仿宋_GB2312" w:hAnsi="仿宋_GB2312" w:eastAsia="仿宋_GB2312" w:cs="仿宋_GB2312"/>
          <w:kern w:val="0"/>
          <w:sz w:val="32"/>
          <w:szCs w:val="32"/>
          <w:lang w:bidi="ar"/>
          <w14:ligatures w14:val="none"/>
        </w:rPr>
        <w:t>月1</w:t>
      </w:r>
      <w:r>
        <w:rPr>
          <w:rFonts w:hint="eastAsia" w:ascii="仿宋_GB2312" w:hAnsi="仿宋_GB2312" w:eastAsia="仿宋_GB2312" w:cs="仿宋_GB2312"/>
          <w:kern w:val="0"/>
          <w:sz w:val="32"/>
          <w:szCs w:val="32"/>
          <w:lang w:val="en-US" w:eastAsia="zh-CN" w:bidi="ar"/>
          <w14:ligatures w14:val="none"/>
        </w:rPr>
        <w:t>2</w:t>
      </w:r>
      <w:r>
        <w:rPr>
          <w:rFonts w:hint="eastAsia" w:ascii="仿宋_GB2312" w:hAnsi="仿宋_GB2312" w:eastAsia="仿宋_GB2312" w:cs="仿宋_GB2312"/>
          <w:kern w:val="0"/>
          <w:sz w:val="32"/>
          <w:szCs w:val="32"/>
          <w:lang w:bidi="ar"/>
          <w14:ligatures w14:val="none"/>
        </w:rPr>
        <w:t>日</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kern w:val="0"/>
          <w:sz w:val="32"/>
          <w:szCs w:val="32"/>
          <w:lang w:bidi="ar"/>
          <w14:ligatures w14:val="none"/>
        </w:rPr>
        <w:t>受理单位：</w:t>
      </w:r>
      <w:r>
        <w:rPr>
          <w:rFonts w:ascii="Times New Roman" w:hAnsi="Times New Roman" w:eastAsia="仿宋_GB2312" w:cs="Times New Roman"/>
          <w:sz w:val="32"/>
          <w:szCs w:val="32"/>
          <w14:ligatures w14:val="none"/>
        </w:rPr>
        <w:t>中关村科学城管委会服务体系建设处</w:t>
      </w:r>
    </w:p>
    <w:p>
      <w:pPr>
        <w:suppressAutoHyphens/>
        <w:spacing w:line="560" w:lineRule="exact"/>
        <w:ind w:firstLine="640" w:firstLineChars="200"/>
        <w:contextualSpacing/>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联 系 人：</w:t>
      </w:r>
      <w:r>
        <w:rPr>
          <w:rFonts w:hint="eastAsia" w:ascii="Times New Roman" w:hAnsi="Times New Roman" w:eastAsia="仿宋_GB2312" w:cs="Times New Roman"/>
          <w:sz w:val="32"/>
          <w:szCs w:val="32"/>
          <w14:ligatures w14:val="none"/>
        </w:rPr>
        <w:t>覃</w:t>
      </w:r>
      <w:r>
        <w:rPr>
          <w:rFonts w:ascii="Times New Roman" w:hAnsi="Times New Roman" w:eastAsia="仿宋_GB2312" w:cs="Times New Roman"/>
          <w:sz w:val="32"/>
          <w:szCs w:val="32"/>
          <w14:ligatures w14:val="none"/>
        </w:rPr>
        <w:t>老师</w:t>
      </w:r>
    </w:p>
    <w:p>
      <w:pPr>
        <w:suppressAutoHyphens/>
        <w:spacing w:line="56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联系电话：88499649、88499683</w:t>
      </w:r>
    </w:p>
    <w:p>
      <w:pPr>
        <w:suppressAutoHyphens/>
        <w:spacing w:line="560" w:lineRule="exact"/>
        <w:ind w:firstLine="640" w:firstLineChars="200"/>
        <w:contextualSpacing/>
        <w:rPr>
          <w:rFonts w:hint="eastAsia" w:ascii="仿宋_GB2312" w:hAnsi="仿宋_GB2312" w:eastAsia="仿宋_GB2312" w:cs="仿宋_GB2312"/>
          <w:sz w:val="32"/>
          <w:szCs w:val="32"/>
          <w14:ligatures w14:val="none"/>
        </w:rPr>
      </w:pPr>
    </w:p>
    <w:p>
      <w:pPr>
        <w:keepNext w:val="0"/>
        <w:keepLines w:val="0"/>
        <w:pageBreakBefore w:val="0"/>
        <w:widowControl/>
        <w:suppressLineNumbers w:val="0"/>
        <w:kinsoku/>
        <w:wordWrap/>
        <w:overflowPunct/>
        <w:topLinePunct w:val="0"/>
        <w:autoSpaceDE/>
        <w:autoSpaceDN/>
        <w:bidi w:val="0"/>
        <w:adjustRightInd/>
        <w:snapToGrid w:val="0"/>
        <w:spacing w:line="0" w:lineRule="atLeast"/>
        <w:ind w:firstLine="0" w:firstLineChars="0"/>
        <w:jc w:val="left"/>
        <w:textAlignment w:val="center"/>
        <w:rPr>
          <w:rFonts w:hint="eastAsia" w:ascii="仿宋_GB2312" w:hAnsi="宋体" w:eastAsia="仿宋_GB2312" w:cs="仿宋_GB2312"/>
          <w:i w:val="0"/>
          <w:iCs w:val="0"/>
          <w:color w:val="000000"/>
          <w:kern w:val="0"/>
          <w:sz w:val="22"/>
          <w:szCs w:val="22"/>
          <w:u w:val="none"/>
          <w:lang w:val="en-US" w:eastAsia="zh-CN" w:bidi="ar"/>
        </w:rPr>
      </w:pPr>
    </w:p>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009426"/>
    </w:sdtPr>
    <w:sdtEndPr>
      <w:rPr>
        <w:rFonts w:ascii="宋体" w:hAnsi="宋体" w:eastAsia="宋体"/>
        <w:sz w:val="28"/>
        <w:szCs w:val="28"/>
      </w:rPr>
    </w:sdtEndPr>
    <w:sdtContent>
      <w:p>
        <w:pPr>
          <w:pStyle w:val="7"/>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958704"/>
    </w:sdtPr>
    <w:sdtEndPr>
      <w:rPr>
        <w:rFonts w:ascii="宋体" w:hAnsi="宋体" w:eastAsia="宋体"/>
        <w:sz w:val="28"/>
        <w:szCs w:val="28"/>
      </w:rPr>
    </w:sdtEndPr>
    <w:sdtContent>
      <w:p>
        <w:pPr>
          <w:pStyle w:val="7"/>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67"/>
    <w:rsid w:val="00002574"/>
    <w:rsid w:val="00016E5A"/>
    <w:rsid w:val="00017328"/>
    <w:rsid w:val="000238A3"/>
    <w:rsid w:val="00027B3F"/>
    <w:rsid w:val="000677A4"/>
    <w:rsid w:val="000966C9"/>
    <w:rsid w:val="0010402B"/>
    <w:rsid w:val="00127DF1"/>
    <w:rsid w:val="00141EF4"/>
    <w:rsid w:val="001678A0"/>
    <w:rsid w:val="00196DB9"/>
    <w:rsid w:val="001E7F0F"/>
    <w:rsid w:val="001F05CC"/>
    <w:rsid w:val="00222813"/>
    <w:rsid w:val="002427AA"/>
    <w:rsid w:val="00242D46"/>
    <w:rsid w:val="00281373"/>
    <w:rsid w:val="00287B21"/>
    <w:rsid w:val="002B72DA"/>
    <w:rsid w:val="002F7457"/>
    <w:rsid w:val="0031411F"/>
    <w:rsid w:val="0035071C"/>
    <w:rsid w:val="00383324"/>
    <w:rsid w:val="003B7805"/>
    <w:rsid w:val="003B7B80"/>
    <w:rsid w:val="003E0826"/>
    <w:rsid w:val="003F019D"/>
    <w:rsid w:val="00436475"/>
    <w:rsid w:val="004A67EE"/>
    <w:rsid w:val="004C02F7"/>
    <w:rsid w:val="004D63C0"/>
    <w:rsid w:val="004E5620"/>
    <w:rsid w:val="004E6952"/>
    <w:rsid w:val="004F5EC0"/>
    <w:rsid w:val="00501A8F"/>
    <w:rsid w:val="005403C4"/>
    <w:rsid w:val="005454B1"/>
    <w:rsid w:val="00563D0E"/>
    <w:rsid w:val="00580D25"/>
    <w:rsid w:val="005876EF"/>
    <w:rsid w:val="00587E54"/>
    <w:rsid w:val="0060492F"/>
    <w:rsid w:val="00626800"/>
    <w:rsid w:val="00630C72"/>
    <w:rsid w:val="006C7F24"/>
    <w:rsid w:val="006D17FF"/>
    <w:rsid w:val="006D3DAF"/>
    <w:rsid w:val="007314F7"/>
    <w:rsid w:val="00742D67"/>
    <w:rsid w:val="00752BBD"/>
    <w:rsid w:val="007B40D2"/>
    <w:rsid w:val="007B6608"/>
    <w:rsid w:val="007B7185"/>
    <w:rsid w:val="008455D9"/>
    <w:rsid w:val="00855176"/>
    <w:rsid w:val="00874EEF"/>
    <w:rsid w:val="0090392A"/>
    <w:rsid w:val="00932554"/>
    <w:rsid w:val="009A5EBF"/>
    <w:rsid w:val="009B4B65"/>
    <w:rsid w:val="00A351A2"/>
    <w:rsid w:val="00A66C98"/>
    <w:rsid w:val="00A87D3E"/>
    <w:rsid w:val="00AA2D00"/>
    <w:rsid w:val="00AA5D2F"/>
    <w:rsid w:val="00AE425F"/>
    <w:rsid w:val="00AE7329"/>
    <w:rsid w:val="00B33FB8"/>
    <w:rsid w:val="00B3773F"/>
    <w:rsid w:val="00B50427"/>
    <w:rsid w:val="00B618D4"/>
    <w:rsid w:val="00B82544"/>
    <w:rsid w:val="00BB025C"/>
    <w:rsid w:val="00BC0196"/>
    <w:rsid w:val="00BC08F6"/>
    <w:rsid w:val="00BE2B80"/>
    <w:rsid w:val="00BF08EA"/>
    <w:rsid w:val="00C04838"/>
    <w:rsid w:val="00C10325"/>
    <w:rsid w:val="00C57945"/>
    <w:rsid w:val="00C61520"/>
    <w:rsid w:val="00C82EA7"/>
    <w:rsid w:val="00CD5ECD"/>
    <w:rsid w:val="00CF6136"/>
    <w:rsid w:val="00D05137"/>
    <w:rsid w:val="00D31CC5"/>
    <w:rsid w:val="00DE7098"/>
    <w:rsid w:val="00E201D7"/>
    <w:rsid w:val="00E34270"/>
    <w:rsid w:val="00EF21AC"/>
    <w:rsid w:val="00F10A66"/>
    <w:rsid w:val="00F3268E"/>
    <w:rsid w:val="00F33DD9"/>
    <w:rsid w:val="00F64A2A"/>
    <w:rsid w:val="00FB49CC"/>
    <w:rsid w:val="00FB78FC"/>
    <w:rsid w:val="00FE4672"/>
    <w:rsid w:val="02427F54"/>
    <w:rsid w:val="039842CF"/>
    <w:rsid w:val="0F1A028E"/>
    <w:rsid w:val="10480E2B"/>
    <w:rsid w:val="13303BC8"/>
    <w:rsid w:val="138E2FF9"/>
    <w:rsid w:val="169B5298"/>
    <w:rsid w:val="1A390616"/>
    <w:rsid w:val="1B8D3C21"/>
    <w:rsid w:val="1BE24336"/>
    <w:rsid w:val="1BEF16AC"/>
    <w:rsid w:val="1DBE7E93"/>
    <w:rsid w:val="1E867084"/>
    <w:rsid w:val="20FB0221"/>
    <w:rsid w:val="21C1459A"/>
    <w:rsid w:val="29127DD1"/>
    <w:rsid w:val="2BF33EE9"/>
    <w:rsid w:val="2D9F1E4F"/>
    <w:rsid w:val="2DFC16A1"/>
    <w:rsid w:val="2F7D26D4"/>
    <w:rsid w:val="37FE7E9E"/>
    <w:rsid w:val="39E210F9"/>
    <w:rsid w:val="3BE467DE"/>
    <w:rsid w:val="3C722C08"/>
    <w:rsid w:val="3FBA410F"/>
    <w:rsid w:val="3FF669BE"/>
    <w:rsid w:val="46A00372"/>
    <w:rsid w:val="483E7E42"/>
    <w:rsid w:val="486F7E46"/>
    <w:rsid w:val="49AB20BF"/>
    <w:rsid w:val="4F2C6C47"/>
    <w:rsid w:val="4F876573"/>
    <w:rsid w:val="51F7D43D"/>
    <w:rsid w:val="522D3402"/>
    <w:rsid w:val="570B7A8A"/>
    <w:rsid w:val="57803CDA"/>
    <w:rsid w:val="598A4B3F"/>
    <w:rsid w:val="5A6A2456"/>
    <w:rsid w:val="5ACE3A67"/>
    <w:rsid w:val="5CFE5CD3"/>
    <w:rsid w:val="5D6659D6"/>
    <w:rsid w:val="5DDBBA7B"/>
    <w:rsid w:val="5FD79C6D"/>
    <w:rsid w:val="5FF560FE"/>
    <w:rsid w:val="615A56C7"/>
    <w:rsid w:val="64FF0C2E"/>
    <w:rsid w:val="67ED3279"/>
    <w:rsid w:val="689A6D89"/>
    <w:rsid w:val="68A1024E"/>
    <w:rsid w:val="69FEF375"/>
    <w:rsid w:val="6EFE0827"/>
    <w:rsid w:val="6EFEA706"/>
    <w:rsid w:val="75BB2313"/>
    <w:rsid w:val="76A35191"/>
    <w:rsid w:val="76FE0D65"/>
    <w:rsid w:val="773E6A95"/>
    <w:rsid w:val="77DE2F50"/>
    <w:rsid w:val="78FEA51B"/>
    <w:rsid w:val="79BF9E01"/>
    <w:rsid w:val="7B533262"/>
    <w:rsid w:val="7BDE2E08"/>
    <w:rsid w:val="7BDF4C32"/>
    <w:rsid w:val="7C980CEB"/>
    <w:rsid w:val="7ED33971"/>
    <w:rsid w:val="7FBE184E"/>
    <w:rsid w:val="A7DF3460"/>
    <w:rsid w:val="B63EBC0A"/>
    <w:rsid w:val="BCAFDFFD"/>
    <w:rsid w:val="C3D28631"/>
    <w:rsid w:val="CF4E4746"/>
    <w:rsid w:val="DBE62B03"/>
    <w:rsid w:val="DCFF472F"/>
    <w:rsid w:val="E0BD87BC"/>
    <w:rsid w:val="E7BFC485"/>
    <w:rsid w:val="EBEB2455"/>
    <w:rsid w:val="EDD1CACB"/>
    <w:rsid w:val="EFD575CA"/>
    <w:rsid w:val="EFFF8BD7"/>
    <w:rsid w:val="F57A075A"/>
    <w:rsid w:val="F7ED85AE"/>
    <w:rsid w:val="FCF781D4"/>
    <w:rsid w:val="FE75B710"/>
    <w:rsid w:val="FF1FD656"/>
    <w:rsid w:val="FF6F21DA"/>
    <w:rsid w:val="FFD377E4"/>
    <w:rsid w:val="FFE34EE6"/>
    <w:rsid w:val="FFEFE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0"/>
    <w:pPr>
      <w:keepNext/>
      <w:keepLines/>
      <w:ind w:firstLine="640"/>
      <w:outlineLvl w:val="0"/>
    </w:pPr>
    <w:rPr>
      <w:rFonts w:eastAsia="黑体"/>
      <w:kern w:val="44"/>
    </w:rPr>
  </w:style>
  <w:style w:type="paragraph" w:styleId="3">
    <w:name w:val="heading 2"/>
    <w:basedOn w:val="1"/>
    <w:next w:val="1"/>
    <w:unhideWhenUsed/>
    <w:qFormat/>
    <w:uiPriority w:val="0"/>
    <w:pPr>
      <w:keepNext/>
      <w:keepLines/>
      <w:ind w:firstLine="640"/>
      <w:outlineLvl w:val="1"/>
    </w:pPr>
    <w:rPr>
      <w:rFonts w:ascii="楷体_GB2312" w:hAnsi="楷体_GB2312" w:eastAsia="楷体_GB231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line="560" w:lineRule="exact"/>
      <w:ind w:firstLine="640" w:firstLineChars="200"/>
      <w:contextualSpacing/>
    </w:pPr>
    <w:rPr>
      <w:rFonts w:ascii="仿宋_GB2312" w:hAnsi="Calibri" w:eastAsia="仿宋_GB2312" w:cs="Times New Roman"/>
      <w:sz w:val="32"/>
      <w:szCs w:val="32"/>
      <w14:ligatures w14:val="none"/>
    </w:rPr>
  </w:style>
  <w:style w:type="paragraph" w:styleId="5">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6">
    <w:name w:val="Date"/>
    <w:basedOn w:val="1"/>
    <w:next w:val="1"/>
    <w:link w:val="14"/>
    <w:semiHidden/>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tabs>
        <w:tab w:val="center" w:pos="4153"/>
        <w:tab w:val="right" w:pos="8306"/>
      </w:tabs>
      <w:snapToGrid w:val="0"/>
      <w:jc w:val="center"/>
    </w:pPr>
    <w:rPr>
      <w:sz w:val="18"/>
      <w:szCs w:val="18"/>
    </w:rPr>
  </w:style>
  <w:style w:type="paragraph" w:styleId="11">
    <w:name w:val="List Paragraph"/>
    <w:basedOn w:val="1"/>
    <w:qFormat/>
    <w:uiPriority w:val="34"/>
    <w:pPr>
      <w:ind w:firstLine="420" w:firstLineChars="200"/>
    </w:pPr>
  </w:style>
  <w:style w:type="character" w:customStyle="1" w:styleId="12">
    <w:name w:val="页眉 字符"/>
    <w:basedOn w:val="10"/>
    <w:link w:val="8"/>
    <w:qFormat/>
    <w:uiPriority w:val="99"/>
    <w:rPr>
      <w:sz w:val="18"/>
      <w:szCs w:val="18"/>
    </w:rPr>
  </w:style>
  <w:style w:type="character" w:customStyle="1" w:styleId="13">
    <w:name w:val="页脚 字符"/>
    <w:basedOn w:val="10"/>
    <w:link w:val="7"/>
    <w:qFormat/>
    <w:uiPriority w:val="99"/>
    <w:rPr>
      <w:sz w:val="18"/>
      <w:szCs w:val="18"/>
    </w:rPr>
  </w:style>
  <w:style w:type="character" w:customStyle="1" w:styleId="14">
    <w:name w:val="日期 字符"/>
    <w:basedOn w:val="10"/>
    <w:link w:val="6"/>
    <w:semiHidden/>
    <w:qFormat/>
    <w:uiPriority w:val="99"/>
  </w:style>
  <w:style w:type="paragraph" w:customStyle="1" w:styleId="15">
    <w:name w:val="TOC1"/>
    <w:basedOn w:val="1"/>
    <w:next w:val="1"/>
    <w:qFormat/>
    <w:uiPriority w:val="0"/>
    <w:pPr>
      <w:spacing w:line="360" w:lineRule="auto"/>
      <w:jc w:val="left"/>
      <w:textAlignment w:val="baseline"/>
    </w:pPr>
    <w:rPr>
      <w:rFonts w:ascii="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3894</Words>
  <Characters>4194</Characters>
  <Lines>66</Lines>
  <Paragraphs>18</Paragraphs>
  <TotalTime>1</TotalTime>
  <ScaleCrop>false</ScaleCrop>
  <LinksUpToDate>false</LinksUpToDate>
  <CharactersWithSpaces>4197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2024-12-30T08:35:00Z</dcterms:created>
  <dc:creator>刘宁</dc:creator>
  <cp:lastModifiedBy>user</cp:lastModifiedBy>
  <dcterms:modified xsi:type="dcterms:W3CDTF">2026-05-21T11:07:13Z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099C7109678E44BBA9F1041E0F269D62_13</vt:lpwstr>
  </property>
  <property fmtid="{D5CDD505-2E9C-101B-9397-08002B2CF9AE}" pid="4" name="KSOTemplateDocerSaveRecord">
    <vt:lpwstr>eyJoZGlkIjoiOWVjZGYzMzUyNWY0N2Q4Y2MwNGNkNGU4ZTM3ZTYzMWMiLCJ1c2VySWQiOiIxNTEzMDgxMDI0In0=</vt:lpwstr>
  </property>
</Properties>
</file>