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58890" w14:textId="77777777" w:rsidR="001361D7" w:rsidRDefault="00000000">
      <w:pPr>
        <w:pStyle w:val="1"/>
        <w:spacing w:after="0"/>
        <w:rPr>
          <w:rFonts w:hint="eastAsia"/>
        </w:rPr>
      </w:pPr>
      <w:r>
        <w:rPr>
          <w:rFonts w:hint="eastAsia"/>
        </w:rPr>
        <w:t>2026年</w:t>
      </w:r>
      <w:bookmarkStart w:id="0" w:name="_Hlk106986730"/>
      <w:r>
        <w:rPr>
          <w:rFonts w:hint="eastAsia"/>
        </w:rPr>
        <w:t>中关村科学城模型券政策申报</w:t>
      </w:r>
      <w:bookmarkEnd w:id="0"/>
      <w:r>
        <w:rPr>
          <w:rFonts w:hint="eastAsia"/>
        </w:rPr>
        <w:t>指南</w:t>
      </w:r>
    </w:p>
    <w:p w14:paraId="07F4D76E" w14:textId="77777777" w:rsidR="001361D7" w:rsidRDefault="001361D7">
      <w:pPr>
        <w:pStyle w:val="1"/>
        <w:spacing w:after="0"/>
        <w:rPr>
          <w:rFonts w:hint="eastAsia"/>
        </w:rPr>
      </w:pPr>
    </w:p>
    <w:p w14:paraId="56F945A4" w14:textId="77777777" w:rsidR="001361D7" w:rsidRDefault="00000000">
      <w:pPr>
        <w:pStyle w:val="af2"/>
        <w:shd w:val="clear" w:color="auto" w:fill="FFFFFF"/>
        <w:overflowPunct w:val="0"/>
        <w:spacing w:beforeAutospacing="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为</w:t>
      </w:r>
      <w:r>
        <w:rPr>
          <w:rFonts w:ascii="仿宋_GB2312" w:eastAsia="仿宋_GB2312" w:hAnsi="仿宋_GB2312" w:cs="仿宋_GB2312" w:hint="eastAsia"/>
          <w:sz w:val="32"/>
          <w:szCs w:val="32"/>
        </w:rPr>
        <w:t>抢抓人工智能发展机遇，推动国产大模型构建应用生态体系，深度赋能千行百业，形成新质生产力，特制定模型券试点基础大模型申报指南。</w:t>
      </w:r>
    </w:p>
    <w:p w14:paraId="33F184A3" w14:textId="77777777" w:rsidR="001361D7" w:rsidRDefault="00000000">
      <w:pPr>
        <w:pStyle w:val="af2"/>
        <w:shd w:val="clear" w:color="auto" w:fill="FFFFFF"/>
        <w:overflowPunct w:val="0"/>
        <w:spacing w:beforeAutospacing="0" w:afterAutospacing="0" w:line="560" w:lineRule="exact"/>
        <w:ind w:firstLineChars="200" w:firstLine="640"/>
        <w:jc w:val="both"/>
        <w:rPr>
          <w:rFonts w:ascii="黑体" w:eastAsia="黑体" w:hAnsi="黑体" w:cs="黑体" w:hint="eastAsia"/>
          <w:sz w:val="32"/>
          <w:szCs w:val="32"/>
        </w:rPr>
      </w:pPr>
      <w:r>
        <w:rPr>
          <w:rFonts w:ascii="黑体" w:eastAsia="黑体" w:hAnsi="黑体" w:cs="黑体" w:hint="eastAsia"/>
          <w:sz w:val="32"/>
          <w:szCs w:val="32"/>
        </w:rPr>
        <w:t>一、支持依据</w:t>
      </w:r>
    </w:p>
    <w:p w14:paraId="537A35CF" w14:textId="77777777" w:rsidR="001361D7" w:rsidRDefault="00000000">
      <w:pPr>
        <w:pStyle w:val="af2"/>
        <w:shd w:val="clear" w:color="auto" w:fill="FFFFFF"/>
        <w:overflowPunct w:val="0"/>
        <w:spacing w:beforeAutospacing="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根据《中关村科学城加快建设具有全球影响力人工智能产业高地的若干措施》中第六条“活跃国产基础大模型应用生态”，制定中关村科学城模型券申报指南，</w:t>
      </w:r>
      <w:r>
        <w:rPr>
          <w:rFonts w:ascii="仿宋_GB2312" w:eastAsia="仿宋_GB2312" w:hAnsi="仿宋_GB2312" w:cs="仿宋_GB2312" w:hint="eastAsia"/>
          <w:color w:val="000000"/>
          <w:sz w:val="32"/>
          <w:szCs w:val="32"/>
          <w:shd w:val="clear" w:color="auto" w:fill="FFFFFF"/>
        </w:rPr>
        <w:t>每年发放模型券不超过1亿元。</w:t>
      </w:r>
      <w:r>
        <w:rPr>
          <w:rFonts w:ascii="仿宋_GB2312" w:eastAsia="仿宋_GB2312" w:hAnsi="仿宋_GB2312" w:cs="仿宋_GB2312" w:hint="eastAsia"/>
          <w:sz w:val="32"/>
          <w:szCs w:val="32"/>
        </w:rPr>
        <w:t>以模型券专项补贴</w:t>
      </w:r>
      <w:r>
        <w:rPr>
          <w:rFonts w:ascii="仿宋_GB2312" w:eastAsia="仿宋_GB2312" w:hAnsi="仿宋_GB2312" w:cs="仿宋_GB2312" w:hint="eastAsia"/>
          <w:color w:val="000000"/>
          <w:sz w:val="32"/>
          <w:szCs w:val="32"/>
          <w:shd w:val="clear" w:color="auto" w:fill="FFFFFF"/>
        </w:rPr>
        <w:t>推动国产大模型应用形成规模效应，加速千行百业数智化转型。</w:t>
      </w:r>
    </w:p>
    <w:p w14:paraId="126F22D0" w14:textId="77777777" w:rsidR="001361D7" w:rsidRDefault="00000000">
      <w:pPr>
        <w:pStyle w:val="af2"/>
        <w:shd w:val="clear" w:color="auto" w:fill="FFFFFF"/>
        <w:overflowPunct w:val="0"/>
        <w:spacing w:beforeAutospacing="0" w:afterAutospacing="0" w:line="560" w:lineRule="exact"/>
        <w:ind w:firstLineChars="200" w:firstLine="640"/>
        <w:jc w:val="both"/>
        <w:rPr>
          <w:rFonts w:ascii="黑体" w:eastAsia="黑体" w:hAnsi="黑体" w:cs="黑体" w:hint="eastAsia"/>
          <w:sz w:val="32"/>
          <w:szCs w:val="32"/>
        </w:rPr>
      </w:pPr>
      <w:r>
        <w:rPr>
          <w:rFonts w:ascii="黑体" w:eastAsia="黑体" w:hAnsi="黑体" w:cs="黑体" w:hint="eastAsia"/>
          <w:sz w:val="32"/>
          <w:szCs w:val="32"/>
        </w:rPr>
        <w:t>二、支持内容和标准</w:t>
      </w:r>
    </w:p>
    <w:p w14:paraId="4C974C85" w14:textId="77777777" w:rsidR="001361D7" w:rsidRDefault="00000000">
      <w:pPr>
        <w:pStyle w:val="af2"/>
        <w:shd w:val="clear" w:color="auto" w:fill="FFFFFF"/>
        <w:overflowPunct w:val="0"/>
        <w:spacing w:beforeAutospacing="0" w:afterAutospacing="0" w:line="560" w:lineRule="exact"/>
        <w:ind w:firstLineChars="200" w:firstLine="640"/>
        <w:jc w:val="both"/>
        <w:rPr>
          <w:rFonts w:ascii="仿宋_GB2312" w:eastAsia="仿宋_GB2312" w:hAnsi="仿宋_GB2312" w:cs="仿宋_GB2312" w:hint="eastAsia"/>
          <w:sz w:val="32"/>
          <w:szCs w:val="32"/>
          <w:highlight w:val="yellow"/>
          <w:shd w:val="clear" w:color="auto" w:fill="FFFFFF"/>
        </w:rPr>
      </w:pPr>
      <w:r>
        <w:rPr>
          <w:rFonts w:ascii="仿宋_GB2312" w:eastAsia="仿宋_GB2312" w:hAnsi="仿宋_GB2312" w:cs="仿宋_GB2312"/>
          <w:sz w:val="32"/>
          <w:szCs w:val="32"/>
          <w:shd w:val="clear" w:color="auto" w:fill="FFFFFF"/>
        </w:rPr>
        <w:t>遴选</w:t>
      </w:r>
      <w:r>
        <w:rPr>
          <w:rFonts w:ascii="仿宋_GB2312" w:eastAsia="仿宋_GB2312" w:hAnsi="仿宋_GB2312" w:cs="仿宋_GB2312" w:hint="eastAsia"/>
          <w:sz w:val="32"/>
          <w:szCs w:val="32"/>
          <w:shd w:val="clear" w:color="auto" w:fill="FFFFFF"/>
        </w:rPr>
        <w:t>不超过2家</w:t>
      </w:r>
      <w:r>
        <w:rPr>
          <w:rFonts w:ascii="仿宋_GB2312" w:eastAsia="仿宋_GB2312" w:hAnsi="仿宋_GB2312" w:cs="仿宋_GB2312"/>
          <w:sz w:val="32"/>
          <w:szCs w:val="32"/>
          <w:shd w:val="clear" w:color="auto" w:fill="FFFFFF"/>
        </w:rPr>
        <w:t>技术创新性强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已开展应用生态布局且具备</w:t>
      </w:r>
      <w:r>
        <w:rPr>
          <w:rFonts w:ascii="仿宋_GB2312" w:eastAsia="仿宋_GB2312" w:hAnsi="仿宋_GB2312" w:cs="仿宋_GB2312" w:hint="eastAsia"/>
          <w:sz w:val="32"/>
          <w:szCs w:val="32"/>
          <w:shd w:val="clear" w:color="auto" w:fill="FFFFFF"/>
        </w:rPr>
        <w:t>用户基础和良好</w:t>
      </w:r>
      <w:r>
        <w:rPr>
          <w:rFonts w:ascii="仿宋_GB2312" w:eastAsia="仿宋_GB2312" w:hAnsi="仿宋_GB2312" w:cs="仿宋_GB2312"/>
          <w:sz w:val="32"/>
          <w:szCs w:val="32"/>
          <w:shd w:val="clear" w:color="auto" w:fill="FFFFFF"/>
        </w:rPr>
        <w:t>应用潜力的国产基础大模型</w:t>
      </w:r>
      <w:r>
        <w:rPr>
          <w:rFonts w:ascii="仿宋_GB2312" w:eastAsia="仿宋_GB2312" w:hAnsi="仿宋_GB2312" w:cs="仿宋_GB2312" w:hint="eastAsia"/>
          <w:sz w:val="32"/>
          <w:szCs w:val="32"/>
          <w:shd w:val="clear" w:color="auto" w:fill="FFFFFF"/>
        </w:rPr>
        <w:t>企业</w:t>
      </w:r>
      <w:r>
        <w:rPr>
          <w:rFonts w:ascii="仿宋_GB2312" w:eastAsia="仿宋_GB2312" w:hAnsi="仿宋_GB2312" w:cs="仿宋_GB2312"/>
          <w:sz w:val="32"/>
          <w:szCs w:val="32"/>
          <w:shd w:val="clear" w:color="auto" w:fill="FFFFFF"/>
        </w:rPr>
        <w:t>，</w:t>
      </w:r>
      <w:r>
        <w:rPr>
          <w:rFonts w:ascii="仿宋_GB2312" w:eastAsia="仿宋_GB2312" w:hAnsi="仿宋_GB2312" w:cs="仿宋_GB2312" w:hint="eastAsia"/>
          <w:sz w:val="32"/>
          <w:szCs w:val="32"/>
          <w:shd w:val="clear" w:color="auto" w:fill="FFFFFF"/>
        </w:rPr>
        <w:t>按照每家半年上限5000万元的补贴额度，开展为期6个月的模型券专项补贴。由遴选出的基础大模型企业对企业用户API调用进行50%补贴，6个月后凭补贴凭证与中关村科学城管委会进行兑付。</w:t>
      </w:r>
    </w:p>
    <w:p w14:paraId="635F64AE" w14:textId="77777777" w:rsidR="001361D7" w:rsidRDefault="00000000">
      <w:pPr>
        <w:pStyle w:val="af2"/>
        <w:shd w:val="clear" w:color="auto" w:fill="FFFFFF"/>
        <w:overflowPunct w:val="0"/>
        <w:spacing w:beforeAutospacing="0" w:afterAutospacing="0" w:line="560" w:lineRule="exact"/>
        <w:ind w:firstLineChars="200" w:firstLine="640"/>
        <w:jc w:val="both"/>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三、申报项目条件</w:t>
      </w:r>
    </w:p>
    <w:p w14:paraId="5DA6434C" w14:textId="77777777" w:rsidR="001361D7" w:rsidRDefault="00000000">
      <w:pPr>
        <w:pStyle w:val="af2"/>
        <w:overflowPunct w:val="0"/>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kern w:val="2"/>
          <w:sz w:val="32"/>
          <w:szCs w:val="32"/>
        </w:rPr>
        <w:t>申报企业须为在海淀区规范经营的实体，财务管理制度健全、经营稳定。</w:t>
      </w:r>
    </w:p>
    <w:p w14:paraId="4E709D84" w14:textId="77777777" w:rsidR="001361D7" w:rsidRDefault="00000000">
      <w:pPr>
        <w:pStyle w:val="af2"/>
        <w:overflowPunct w:val="0"/>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2.申报企业需在网信办完成基础大模型备案。</w:t>
      </w:r>
    </w:p>
    <w:p w14:paraId="5157A1CD" w14:textId="77777777" w:rsidR="001361D7" w:rsidRDefault="00000000">
      <w:pPr>
        <w:pStyle w:val="af2"/>
        <w:overflowPunct w:val="0"/>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3.申报企业需对外提供API调用服务，积极开展应用生态布</w:t>
      </w:r>
      <w:r>
        <w:rPr>
          <w:rFonts w:ascii="仿宋_GB2312" w:eastAsia="仿宋_GB2312" w:hAnsi="仿宋_GB2312" w:cs="仿宋_GB2312" w:hint="eastAsia"/>
          <w:kern w:val="2"/>
          <w:sz w:val="32"/>
          <w:szCs w:val="32"/>
        </w:rPr>
        <w:lastRenderedPageBreak/>
        <w:t>局，近三个月以来日均tokens调用量不少于10000亿，服务企业客户数量不少于10000家,其中海淀区企业用户不少于500家。</w:t>
      </w:r>
    </w:p>
    <w:p w14:paraId="29E70EF0" w14:textId="77777777" w:rsidR="001361D7" w:rsidRDefault="00000000">
      <w:pPr>
        <w:pStyle w:val="af2"/>
        <w:overflowPunct w:val="0"/>
        <w:spacing w:beforeAutospacing="0" w:afterAutospacing="0" w:line="560" w:lineRule="exact"/>
        <w:ind w:firstLineChars="200" w:firstLine="640"/>
        <w:jc w:val="both"/>
        <w:rPr>
          <w:rFonts w:ascii="仿宋_GB2312" w:eastAsia="仿宋_GB2312" w:hAnsi="仿宋_GB2312" w:cs="仿宋_GB2312" w:hint="eastAsia"/>
          <w:kern w:val="2"/>
          <w:sz w:val="32"/>
          <w:szCs w:val="32"/>
          <w:highlight w:val="yellow"/>
        </w:rPr>
      </w:pPr>
      <w:r>
        <w:rPr>
          <w:rFonts w:ascii="仿宋_GB2312" w:eastAsia="仿宋_GB2312" w:hAnsi="仿宋_GB2312" w:cs="仿宋_GB2312" w:hint="eastAsia"/>
          <w:kern w:val="2"/>
          <w:sz w:val="32"/>
          <w:szCs w:val="32"/>
        </w:rPr>
        <w:t>4.申报企业需结合自身提供API调用相关服务收费模式设计方案，整体按照补贴比例不超过50%、对每家用户企业每年补贴上限不超过200万元进行设计，且用户企业须为在海淀区规范经营的主体。</w:t>
      </w:r>
    </w:p>
    <w:p w14:paraId="2034E262" w14:textId="77777777" w:rsidR="001361D7" w:rsidRDefault="00000000">
      <w:pPr>
        <w:pStyle w:val="af2"/>
        <w:shd w:val="clear" w:color="auto" w:fill="FFFFFF"/>
        <w:overflowPunct w:val="0"/>
        <w:spacing w:beforeAutospacing="0" w:afterAutospacing="0" w:line="560" w:lineRule="exact"/>
        <w:ind w:firstLineChars="200" w:firstLine="640"/>
        <w:jc w:val="both"/>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四、申报流程</w:t>
      </w:r>
    </w:p>
    <w:p w14:paraId="27DD913C" w14:textId="77777777" w:rsidR="001361D7" w:rsidRDefault="00000000">
      <w:pPr>
        <w:pStyle w:val="af2"/>
        <w:overflowPunct w:val="0"/>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1.企业通过</w:t>
      </w:r>
      <w:hyperlink r:id="rId7" w:tgtFrame="https://www.bjhd.gov.cn/qyfw/bulletIndexDetail/_blank" w:history="1">
        <w:r>
          <w:rPr>
            <w:rFonts w:ascii="仿宋_GB2312" w:eastAsia="仿宋_GB2312" w:hAnsi="仿宋_GB2312" w:cs="仿宋_GB2312" w:hint="eastAsia"/>
            <w:kern w:val="2"/>
            <w:sz w:val="32"/>
            <w:szCs w:val="32"/>
          </w:rPr>
          <w:t>专项资金平台</w:t>
        </w:r>
      </w:hyperlink>
      <w:r>
        <w:rPr>
          <w:rFonts w:ascii="仿宋_GB2312" w:eastAsia="仿宋_GB2312" w:hAnsi="仿宋_GB2312" w:cs="仿宋_GB2312" w:hint="eastAsia"/>
          <w:kern w:val="2"/>
          <w:sz w:val="32"/>
          <w:szCs w:val="32"/>
        </w:rPr>
        <w:t>在线申报，按要求填写基本信息并提交</w:t>
      </w:r>
      <w:r>
        <w:rPr>
          <w:rFonts w:ascii="仿宋_GB2312" w:eastAsia="仿宋_GB2312" w:hAnsi="等线 Light" w:cs="仿宋_GB2312" w:hint="eastAsia"/>
          <w:color w:val="000000"/>
          <w:sz w:val="32"/>
          <w:szCs w:val="32"/>
          <w:lang w:bidi="ar"/>
        </w:rPr>
        <w:t>《中关村科学城模型券政策申报书》</w:t>
      </w:r>
      <w:r>
        <w:rPr>
          <w:rFonts w:ascii="仿宋_GB2312" w:eastAsia="仿宋_GB2312" w:hAnsi="仿宋_GB2312" w:cs="仿宋_GB2312" w:hint="eastAsia"/>
          <w:kern w:val="2"/>
          <w:sz w:val="32"/>
          <w:szCs w:val="32"/>
        </w:rPr>
        <w:t>及有关附件材料。</w:t>
      </w:r>
    </w:p>
    <w:p w14:paraId="7A197725" w14:textId="77777777" w:rsidR="001361D7" w:rsidRDefault="00000000">
      <w:pPr>
        <w:overflowPunct w:val="0"/>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2.申报期结束后，中关村科学城管委会将组织专家综合评审，从技术、投资、财务等方面择优遴选不超过2家基础大模型企业开展补贴。</w:t>
      </w:r>
    </w:p>
    <w:p w14:paraId="3DFCCA2A" w14:textId="77777777" w:rsidR="001361D7" w:rsidRDefault="00000000">
      <w:pPr>
        <w:pStyle w:val="af2"/>
        <w:overflowPunct w:val="0"/>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3.如申报材料不属实，中关村科学城管委会将按相关规定进行处理。</w:t>
      </w:r>
    </w:p>
    <w:p w14:paraId="25E493B0" w14:textId="77777777" w:rsidR="001361D7" w:rsidRDefault="00000000">
      <w:pPr>
        <w:pStyle w:val="af2"/>
        <w:shd w:val="clear" w:color="auto" w:fill="FFFFFF"/>
        <w:overflowPunct w:val="0"/>
        <w:spacing w:beforeAutospacing="0" w:afterAutospacing="0" w:line="560" w:lineRule="exact"/>
        <w:ind w:firstLineChars="200" w:firstLine="640"/>
        <w:jc w:val="both"/>
        <w:rPr>
          <w:rFonts w:ascii="黑体" w:eastAsia="黑体" w:hAnsi="黑体" w:hint="eastAsia"/>
          <w:sz w:val="32"/>
          <w:szCs w:val="32"/>
        </w:rPr>
      </w:pPr>
      <w:r>
        <w:rPr>
          <w:rFonts w:ascii="黑体" w:eastAsia="黑体" w:hAnsi="黑体" w:hint="eastAsia"/>
          <w:sz w:val="32"/>
          <w:szCs w:val="32"/>
        </w:rPr>
        <w:t>五、申报时间及受理单位</w:t>
      </w:r>
    </w:p>
    <w:p w14:paraId="4D028607" w14:textId="77777777" w:rsidR="001361D7" w:rsidRDefault="00000000">
      <w:pPr>
        <w:pStyle w:val="af2"/>
        <w:overflowPunct w:val="0"/>
        <w:spacing w:beforeAutospacing="0" w:afterAutospacing="0" w:line="560" w:lineRule="exact"/>
        <w:ind w:firstLineChars="200" w:firstLine="640"/>
        <w:contextualSpacing/>
        <w:jc w:val="both"/>
        <w:rPr>
          <w:rFonts w:ascii="仿宋_GB2312" w:eastAsia="仿宋_GB2312" w:hAnsi="等线 Light" w:cs="仿宋_GB2312" w:hint="eastAsia"/>
          <w:color w:val="000000"/>
          <w:sz w:val="32"/>
          <w:szCs w:val="32"/>
          <w:lang w:bidi="ar"/>
        </w:rPr>
      </w:pPr>
      <w:r>
        <w:rPr>
          <w:rFonts w:ascii="仿宋_GB2312" w:eastAsia="仿宋_GB2312" w:hAnsi="等线 Light" w:cs="仿宋_GB2312"/>
          <w:color w:val="000000"/>
          <w:sz w:val="32"/>
          <w:szCs w:val="32"/>
          <w:lang w:bidi="ar"/>
        </w:rPr>
        <w:t>项目</w:t>
      </w:r>
      <w:r>
        <w:rPr>
          <w:rFonts w:ascii="仿宋_GB2312" w:eastAsia="仿宋_GB2312" w:hAnsi="等线 Light" w:cs="仿宋_GB2312" w:hint="eastAsia"/>
          <w:color w:val="000000"/>
          <w:sz w:val="32"/>
          <w:szCs w:val="32"/>
          <w:lang w:bidi="ar"/>
        </w:rPr>
        <w:t>申报时间：2026年3月30日-4月5日</w:t>
      </w:r>
    </w:p>
    <w:p w14:paraId="74DC9222" w14:textId="77777777" w:rsidR="001361D7" w:rsidRDefault="00000000">
      <w:pPr>
        <w:pStyle w:val="af2"/>
        <w:overflowPunct w:val="0"/>
        <w:spacing w:beforeAutospacing="0" w:afterAutospacing="0" w:line="560" w:lineRule="exact"/>
        <w:ind w:firstLineChars="200" w:firstLine="640"/>
        <w:contextualSpacing/>
        <w:jc w:val="both"/>
        <w:rPr>
          <w:rFonts w:ascii="仿宋_GB2312" w:eastAsia="仿宋_GB2312" w:hAnsi="等线 Light" w:cs="仿宋_GB2312" w:hint="eastAsia"/>
          <w:color w:val="000000"/>
          <w:sz w:val="32"/>
          <w:szCs w:val="32"/>
          <w:lang w:bidi="ar"/>
        </w:rPr>
      </w:pPr>
      <w:r>
        <w:rPr>
          <w:rFonts w:ascii="仿宋_GB2312" w:eastAsia="仿宋_GB2312" w:hAnsi="等线 Light" w:cs="仿宋_GB2312" w:hint="eastAsia"/>
          <w:color w:val="000000"/>
          <w:sz w:val="32"/>
          <w:szCs w:val="32"/>
          <w:lang w:bidi="ar"/>
        </w:rPr>
        <w:t>符合申报条件的单位信息将会同步于北京市人民政府门户网站“政策兑现”频道(</w:t>
      </w:r>
      <w:hyperlink r:id="rId8" w:tgtFrame="https://www.bjhd.gov.cn/qyfw/bulletIndexDetail/_blank" w:history="1">
        <w:r>
          <w:rPr>
            <w:rFonts w:ascii="仿宋_GB2312" w:eastAsia="仿宋_GB2312" w:hAnsi="等线 Light" w:cs="仿宋_GB2312" w:hint="eastAsia"/>
            <w:color w:val="000000"/>
            <w:sz w:val="32"/>
            <w:szCs w:val="32"/>
            <w:lang w:bidi="ar"/>
          </w:rPr>
          <w:t>https://zhengce.beijing.gov.cn</w:t>
        </w:r>
      </w:hyperlink>
      <w:r>
        <w:rPr>
          <w:rFonts w:ascii="仿宋_GB2312" w:eastAsia="仿宋_GB2312" w:hAnsi="等线 Light" w:cs="仿宋_GB2312" w:hint="eastAsia"/>
          <w:color w:val="000000"/>
          <w:sz w:val="32"/>
          <w:szCs w:val="32"/>
          <w:lang w:bidi="ar"/>
        </w:rPr>
        <w:t>)。</w:t>
      </w:r>
    </w:p>
    <w:p w14:paraId="4CDF0927" w14:textId="77777777" w:rsidR="001361D7" w:rsidRDefault="00000000">
      <w:pPr>
        <w:pStyle w:val="af2"/>
        <w:overflowPunct w:val="0"/>
        <w:spacing w:beforeAutospacing="0" w:afterAutospacing="0" w:line="560" w:lineRule="exact"/>
        <w:ind w:firstLineChars="200" w:firstLine="640"/>
        <w:contextualSpacing/>
        <w:jc w:val="both"/>
        <w:rPr>
          <w:rFonts w:ascii="仿宋_GB2312" w:eastAsia="仿宋_GB2312" w:cs="仿宋_GB2312"/>
          <w:color w:val="000000"/>
          <w:spacing w:val="-10"/>
          <w:sz w:val="32"/>
          <w:szCs w:val="32"/>
        </w:rPr>
      </w:pPr>
      <w:r>
        <w:rPr>
          <w:rFonts w:ascii="仿宋_GB2312" w:eastAsia="仿宋_GB2312" w:hAnsi="等线 Light" w:cs="仿宋_GB2312" w:hint="eastAsia"/>
          <w:color w:val="000000"/>
          <w:sz w:val="32"/>
          <w:szCs w:val="32"/>
          <w:lang w:bidi="ar"/>
        </w:rPr>
        <w:t>项目将于申报截止后5个工作日内完成初审，初审结束后5</w:t>
      </w:r>
      <w:r>
        <w:rPr>
          <w:rFonts w:ascii="仿宋_GB2312" w:eastAsia="仿宋_GB2312" w:hAnsi="等线 Light" w:cs="仿宋_GB2312" w:hint="eastAsia"/>
          <w:color w:val="000000"/>
          <w:spacing w:val="-10"/>
          <w:sz w:val="32"/>
          <w:szCs w:val="32"/>
          <w:lang w:bidi="ar"/>
        </w:rPr>
        <w:t>个工作日内完成专家评审，评审结束后5个工作日内形成审核结果。</w:t>
      </w:r>
    </w:p>
    <w:p w14:paraId="236EFF1A" w14:textId="77777777" w:rsidR="001361D7" w:rsidRDefault="00000000">
      <w:pPr>
        <w:pStyle w:val="af2"/>
        <w:overflowPunct w:val="0"/>
        <w:spacing w:beforeAutospacing="0" w:afterAutospacing="0" w:line="560" w:lineRule="exact"/>
        <w:ind w:firstLineChars="200" w:firstLine="640"/>
        <w:contextualSpacing/>
        <w:jc w:val="both"/>
        <w:rPr>
          <w:rFonts w:ascii="仿宋_GB2312" w:eastAsia="仿宋_GB2312" w:hAnsi="等线 Light" w:cs="仿宋_GB2312" w:hint="eastAsia"/>
          <w:color w:val="000000"/>
          <w:sz w:val="32"/>
          <w:szCs w:val="32"/>
          <w:lang w:bidi="ar"/>
        </w:rPr>
      </w:pPr>
      <w:r>
        <w:rPr>
          <w:rFonts w:ascii="仿宋_GB2312" w:eastAsia="仿宋_GB2312" w:hAnsi="等线 Light" w:cs="仿宋_GB2312" w:hint="eastAsia"/>
          <w:color w:val="000000"/>
          <w:sz w:val="32"/>
          <w:szCs w:val="32"/>
          <w:lang w:bidi="ar"/>
        </w:rPr>
        <w:t>受理单位：中关村科学城管委会产业促进一处</w:t>
      </w:r>
    </w:p>
    <w:p w14:paraId="743D4B6E" w14:textId="77777777" w:rsidR="001361D7" w:rsidRDefault="00000000">
      <w:pPr>
        <w:pStyle w:val="af2"/>
        <w:overflowPunct w:val="0"/>
        <w:spacing w:beforeAutospacing="0" w:afterAutospacing="0" w:line="560" w:lineRule="exact"/>
        <w:ind w:firstLineChars="200" w:firstLine="640"/>
        <w:contextualSpacing/>
        <w:jc w:val="both"/>
        <w:rPr>
          <w:rFonts w:ascii="仿宋_GB2312" w:eastAsia="仿宋_GB2312" w:hAnsi="等线 Light" w:cs="仿宋_GB2312" w:hint="eastAsia"/>
          <w:color w:val="000000"/>
          <w:sz w:val="32"/>
          <w:szCs w:val="32"/>
          <w:lang w:bidi="ar"/>
        </w:rPr>
      </w:pPr>
      <w:r>
        <w:rPr>
          <w:rFonts w:ascii="仿宋_GB2312" w:eastAsia="仿宋_GB2312" w:hAnsi="等线 Light" w:cs="仿宋_GB2312" w:hint="eastAsia"/>
          <w:color w:val="000000"/>
          <w:sz w:val="32"/>
          <w:szCs w:val="32"/>
          <w:lang w:bidi="ar"/>
        </w:rPr>
        <w:lastRenderedPageBreak/>
        <w:t>联系人：郭戎威15822892700,工作日上午9:00-12:00，下午2:00-6:00。</w:t>
      </w:r>
    </w:p>
    <w:p w14:paraId="6E83A3A2" w14:textId="77777777" w:rsidR="001361D7" w:rsidRDefault="001361D7">
      <w:pPr>
        <w:pStyle w:val="af2"/>
        <w:overflowPunct w:val="0"/>
        <w:spacing w:beforeAutospacing="0" w:afterAutospacing="0" w:line="560" w:lineRule="exact"/>
        <w:ind w:firstLineChars="200" w:firstLine="640"/>
        <w:contextualSpacing/>
        <w:jc w:val="both"/>
        <w:rPr>
          <w:rFonts w:ascii="仿宋_GB2312" w:eastAsia="仿宋_GB2312" w:hAnsi="等线 Light" w:cs="仿宋_GB2312" w:hint="eastAsia"/>
          <w:color w:val="000000"/>
          <w:sz w:val="32"/>
          <w:szCs w:val="32"/>
          <w:lang w:bidi="ar"/>
        </w:rPr>
      </w:pPr>
    </w:p>
    <w:p w14:paraId="4B29749D" w14:textId="77777777" w:rsidR="001361D7" w:rsidRDefault="00000000">
      <w:pPr>
        <w:pStyle w:val="af2"/>
        <w:overflowPunct w:val="0"/>
        <w:spacing w:beforeAutospacing="0" w:afterAutospacing="0" w:line="560" w:lineRule="exact"/>
        <w:ind w:firstLineChars="200" w:firstLine="640"/>
        <w:contextualSpacing/>
        <w:jc w:val="both"/>
        <w:rPr>
          <w:rFonts w:ascii="仿宋_GB2312" w:eastAsia="仿宋_GB2312" w:hAnsi="等线 Light" w:cs="仿宋_GB2312" w:hint="eastAsia"/>
          <w:color w:val="000000"/>
          <w:sz w:val="32"/>
          <w:szCs w:val="32"/>
          <w:lang w:bidi="ar"/>
        </w:rPr>
      </w:pPr>
      <w:r>
        <w:rPr>
          <w:rFonts w:ascii="仿宋_GB2312" w:eastAsia="仿宋_GB2312" w:hAnsi="等线 Light" w:cs="仿宋_GB2312" w:hint="eastAsia"/>
          <w:color w:val="000000"/>
          <w:sz w:val="32"/>
          <w:szCs w:val="32"/>
          <w:lang w:bidi="ar"/>
        </w:rPr>
        <w:t>附件：1.2026年中关村科学城模型券政策评审方案</w:t>
      </w:r>
    </w:p>
    <w:p w14:paraId="106B8122" w14:textId="77777777" w:rsidR="001361D7" w:rsidRDefault="00000000">
      <w:pPr>
        <w:pStyle w:val="af2"/>
        <w:overflowPunct w:val="0"/>
        <w:spacing w:beforeAutospacing="0" w:afterAutospacing="0" w:line="560" w:lineRule="exact"/>
        <w:ind w:firstLineChars="200" w:firstLine="640"/>
        <w:contextualSpacing/>
        <w:jc w:val="both"/>
        <w:rPr>
          <w:rFonts w:ascii="仿宋_GB2312" w:eastAsia="仿宋_GB2312" w:hAnsi="等线 Light" w:cs="仿宋_GB2312" w:hint="eastAsia"/>
          <w:color w:val="000000"/>
          <w:sz w:val="32"/>
          <w:szCs w:val="32"/>
          <w:lang w:bidi="ar"/>
        </w:rPr>
      </w:pPr>
      <w:r>
        <w:rPr>
          <w:rFonts w:ascii="仿宋_GB2312" w:eastAsia="仿宋_GB2312" w:hAnsi="等线 Light" w:cs="仿宋_GB2312" w:hint="eastAsia"/>
          <w:color w:val="000000"/>
          <w:sz w:val="32"/>
          <w:szCs w:val="32"/>
          <w:lang w:bidi="ar"/>
        </w:rPr>
        <w:t xml:space="preserve">      2.2026年中关村科学城模型券政策申报书</w:t>
      </w:r>
    </w:p>
    <w:p w14:paraId="07459D84" w14:textId="77777777" w:rsidR="001361D7" w:rsidRDefault="001361D7">
      <w:pPr>
        <w:pStyle w:val="af2"/>
        <w:shd w:val="clear" w:color="auto" w:fill="FFFFFF"/>
        <w:overflowPunct w:val="0"/>
        <w:spacing w:beforeAutospacing="0" w:afterAutospacing="0" w:line="560" w:lineRule="exact"/>
        <w:ind w:firstLineChars="200" w:firstLine="640"/>
        <w:jc w:val="both"/>
        <w:rPr>
          <w:rFonts w:ascii="仿宋_GB2312" w:eastAsia="仿宋_GB2312" w:hAnsi="仿宋_GB2312" w:cs="仿宋_GB2312" w:hint="eastAsia"/>
          <w:sz w:val="32"/>
          <w:szCs w:val="32"/>
          <w:shd w:val="clear" w:color="auto" w:fill="FFFFFF"/>
        </w:rPr>
      </w:pPr>
    </w:p>
    <w:p w14:paraId="14B89238" w14:textId="77777777" w:rsidR="001361D7" w:rsidRDefault="001361D7">
      <w:pPr>
        <w:overflowPunct w:val="0"/>
        <w:spacing w:line="560" w:lineRule="exact"/>
        <w:ind w:firstLineChars="200" w:firstLine="640"/>
        <w:rPr>
          <w:rFonts w:ascii="方正小标宋简体" w:eastAsia="方正小标宋简体"/>
          <w:sz w:val="32"/>
          <w:szCs w:val="32"/>
        </w:rPr>
      </w:pPr>
    </w:p>
    <w:p w14:paraId="07CE29D7" w14:textId="77777777" w:rsidR="001361D7" w:rsidRDefault="001361D7">
      <w:pPr>
        <w:overflowPunct w:val="0"/>
        <w:spacing w:line="560" w:lineRule="exact"/>
        <w:ind w:firstLineChars="200" w:firstLine="640"/>
        <w:rPr>
          <w:rFonts w:ascii="方正小标宋简体" w:eastAsia="方正小标宋简体"/>
          <w:sz w:val="32"/>
          <w:szCs w:val="32"/>
        </w:rPr>
      </w:pPr>
    </w:p>
    <w:p w14:paraId="0B27D920" w14:textId="77777777" w:rsidR="001361D7" w:rsidRDefault="001361D7">
      <w:pPr>
        <w:overflowPunct w:val="0"/>
        <w:spacing w:line="560" w:lineRule="exact"/>
        <w:ind w:firstLineChars="200" w:firstLine="640"/>
        <w:rPr>
          <w:rFonts w:ascii="方正小标宋简体" w:eastAsia="方正小标宋简体"/>
          <w:sz w:val="32"/>
          <w:szCs w:val="32"/>
        </w:rPr>
      </w:pPr>
    </w:p>
    <w:p w14:paraId="12C16710" w14:textId="77777777" w:rsidR="001361D7" w:rsidRDefault="001361D7">
      <w:pPr>
        <w:spacing w:line="560" w:lineRule="exact"/>
        <w:rPr>
          <w:rFonts w:ascii="方正小标宋简体" w:eastAsia="方正小标宋简体"/>
          <w:sz w:val="44"/>
          <w:szCs w:val="44"/>
        </w:rPr>
      </w:pPr>
    </w:p>
    <w:p w14:paraId="209B7A66" w14:textId="77777777" w:rsidR="001361D7" w:rsidRDefault="001361D7">
      <w:pPr>
        <w:spacing w:line="560" w:lineRule="exact"/>
        <w:rPr>
          <w:rFonts w:ascii="方正小标宋简体" w:eastAsia="方正小标宋简体"/>
          <w:sz w:val="44"/>
          <w:szCs w:val="44"/>
        </w:rPr>
      </w:pPr>
    </w:p>
    <w:p w14:paraId="07B36DA1" w14:textId="77777777" w:rsidR="001361D7" w:rsidRDefault="001361D7">
      <w:pPr>
        <w:spacing w:line="560" w:lineRule="exact"/>
        <w:rPr>
          <w:rFonts w:ascii="方正小标宋简体" w:eastAsia="方正小标宋简体"/>
          <w:sz w:val="44"/>
          <w:szCs w:val="44"/>
        </w:rPr>
      </w:pPr>
    </w:p>
    <w:p w14:paraId="09817369" w14:textId="77777777" w:rsidR="001361D7" w:rsidRDefault="001361D7">
      <w:pPr>
        <w:spacing w:line="560" w:lineRule="exact"/>
        <w:rPr>
          <w:rFonts w:ascii="方正小标宋简体" w:eastAsia="方正小标宋简体"/>
          <w:sz w:val="44"/>
          <w:szCs w:val="44"/>
        </w:rPr>
      </w:pPr>
    </w:p>
    <w:p w14:paraId="46354648" w14:textId="77777777" w:rsidR="001361D7" w:rsidRDefault="001361D7">
      <w:pPr>
        <w:spacing w:line="560" w:lineRule="exact"/>
        <w:rPr>
          <w:rFonts w:ascii="方正小标宋简体" w:eastAsia="方正小标宋简体"/>
          <w:sz w:val="44"/>
          <w:szCs w:val="44"/>
        </w:rPr>
      </w:pPr>
    </w:p>
    <w:p w14:paraId="04D60869" w14:textId="77777777" w:rsidR="001361D7" w:rsidRDefault="001361D7">
      <w:pPr>
        <w:spacing w:line="560" w:lineRule="exact"/>
        <w:rPr>
          <w:rFonts w:ascii="方正小标宋简体" w:eastAsia="方正小标宋简体"/>
          <w:sz w:val="44"/>
          <w:szCs w:val="44"/>
        </w:rPr>
      </w:pPr>
    </w:p>
    <w:p w14:paraId="220D45DD" w14:textId="77777777" w:rsidR="001361D7" w:rsidRDefault="001361D7">
      <w:pPr>
        <w:spacing w:line="560" w:lineRule="exact"/>
        <w:rPr>
          <w:rFonts w:ascii="方正小标宋简体" w:eastAsia="方正小标宋简体"/>
          <w:sz w:val="44"/>
          <w:szCs w:val="44"/>
        </w:rPr>
      </w:pPr>
    </w:p>
    <w:p w14:paraId="723DFF15" w14:textId="77777777" w:rsidR="001361D7" w:rsidRDefault="001361D7">
      <w:pPr>
        <w:spacing w:line="560" w:lineRule="exact"/>
        <w:rPr>
          <w:rFonts w:ascii="方正小标宋简体" w:eastAsia="方正小标宋简体"/>
          <w:sz w:val="44"/>
          <w:szCs w:val="44"/>
        </w:rPr>
      </w:pPr>
    </w:p>
    <w:p w14:paraId="4F6FB3A0" w14:textId="77777777" w:rsidR="001361D7" w:rsidRDefault="001361D7">
      <w:pPr>
        <w:spacing w:line="560" w:lineRule="exact"/>
        <w:rPr>
          <w:rFonts w:ascii="方正小标宋简体" w:eastAsia="方正小标宋简体"/>
          <w:sz w:val="44"/>
          <w:szCs w:val="44"/>
        </w:rPr>
      </w:pPr>
    </w:p>
    <w:p w14:paraId="0B4AE9A7" w14:textId="77777777" w:rsidR="001361D7" w:rsidRDefault="001361D7">
      <w:pPr>
        <w:spacing w:line="560" w:lineRule="exact"/>
        <w:rPr>
          <w:rFonts w:ascii="黑体" w:eastAsia="黑体" w:hAnsi="黑体" w:cs="黑体" w:hint="eastAsia"/>
          <w:sz w:val="32"/>
          <w:szCs w:val="32"/>
          <w:shd w:val="clear" w:color="auto" w:fill="FFFFFF"/>
        </w:rPr>
      </w:pPr>
    </w:p>
    <w:p w14:paraId="53F26E0E" w14:textId="77777777" w:rsidR="001361D7" w:rsidRDefault="001361D7">
      <w:pPr>
        <w:spacing w:line="560" w:lineRule="exact"/>
        <w:rPr>
          <w:rFonts w:ascii="黑体" w:eastAsia="黑体" w:hAnsi="黑体" w:cs="黑体" w:hint="eastAsia"/>
          <w:sz w:val="32"/>
          <w:szCs w:val="32"/>
          <w:shd w:val="clear" w:color="auto" w:fill="FFFFFF"/>
        </w:rPr>
      </w:pPr>
    </w:p>
    <w:p w14:paraId="1674E661" w14:textId="77777777" w:rsidR="001361D7" w:rsidRDefault="00000000">
      <w:pPr>
        <w:spacing w:line="560" w:lineRule="exact"/>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附件1</w:t>
      </w:r>
    </w:p>
    <w:p w14:paraId="1DB6E22B" w14:textId="77777777" w:rsidR="001361D7" w:rsidRDefault="001361D7">
      <w:pPr>
        <w:spacing w:after="0" w:line="560" w:lineRule="exact"/>
        <w:jc w:val="center"/>
        <w:rPr>
          <w:rFonts w:ascii="方正小标宋简体" w:eastAsia="方正小标宋简体"/>
          <w:sz w:val="44"/>
          <w:szCs w:val="44"/>
        </w:rPr>
      </w:pPr>
    </w:p>
    <w:p w14:paraId="0C0F57AD" w14:textId="77777777" w:rsidR="001361D7" w:rsidRDefault="00000000">
      <w:pPr>
        <w:spacing w:after="0" w:line="560" w:lineRule="exact"/>
        <w:jc w:val="center"/>
        <w:rPr>
          <w:rFonts w:ascii="方正小标宋简体" w:eastAsia="方正小标宋简体"/>
          <w:sz w:val="44"/>
          <w:szCs w:val="44"/>
        </w:rPr>
      </w:pPr>
      <w:r>
        <w:rPr>
          <w:rFonts w:ascii="方正小标宋简体" w:eastAsia="方正小标宋简体" w:hint="eastAsia"/>
          <w:sz w:val="44"/>
          <w:szCs w:val="44"/>
        </w:rPr>
        <w:t>2026年中关村科学城模型券政策评审方案</w:t>
      </w:r>
    </w:p>
    <w:p w14:paraId="43A34956" w14:textId="77777777" w:rsidR="001361D7" w:rsidRDefault="001361D7">
      <w:pPr>
        <w:overflowPunct w:val="0"/>
        <w:spacing w:after="0" w:line="560" w:lineRule="exact"/>
        <w:ind w:firstLineChars="200" w:firstLine="640"/>
        <w:rPr>
          <w:rFonts w:ascii="方正小标宋简体" w:eastAsia="方正小标宋简体"/>
          <w:sz w:val="32"/>
          <w:szCs w:val="32"/>
        </w:rPr>
      </w:pPr>
    </w:p>
    <w:p w14:paraId="6A4138A3" w14:textId="77777777" w:rsidR="001361D7" w:rsidRDefault="00000000">
      <w:pPr>
        <w:pStyle w:val="2"/>
        <w:overflowPunct w:val="0"/>
        <w:spacing w:after="0" w:line="510" w:lineRule="exact"/>
        <w:ind w:leftChars="0" w:left="0" w:firstLineChars="200" w:firstLine="640"/>
        <w:rPr>
          <w:rFonts w:ascii="黑体" w:eastAsia="黑体" w:hAnsi="黑体" w:cs="宋体" w:hint="eastAsia"/>
          <w:kern w:val="0"/>
          <w:sz w:val="32"/>
          <w:szCs w:val="32"/>
        </w:rPr>
      </w:pPr>
      <w:r>
        <w:rPr>
          <w:rFonts w:ascii="黑体" w:eastAsia="黑体" w:hAnsi="黑体" w:cs="宋体" w:hint="eastAsia"/>
          <w:kern w:val="0"/>
          <w:sz w:val="32"/>
          <w:szCs w:val="32"/>
        </w:rPr>
        <w:t>一、基础大模型企业征集</w:t>
      </w:r>
    </w:p>
    <w:p w14:paraId="6326C198" w14:textId="77777777" w:rsidR="001361D7" w:rsidRDefault="00000000">
      <w:pPr>
        <w:pStyle w:val="af2"/>
        <w:shd w:val="clear" w:color="auto" w:fill="FFFFFF"/>
        <w:overflowPunct w:val="0"/>
        <w:spacing w:beforeAutospacing="0" w:afterAutospacing="0" w:line="510" w:lineRule="exact"/>
        <w:ind w:firstLineChars="200"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rPr>
        <w:t>政策审议通过后，将于中关村科学城企业综合服务平台发布</w:t>
      </w:r>
      <w:r>
        <w:rPr>
          <w:rFonts w:ascii="仿宋_GB2312" w:eastAsia="仿宋_GB2312" w:hAnsi="仿宋_GB2312" w:cs="仿宋_GB2312"/>
          <w:sz w:val="32"/>
          <w:szCs w:val="32"/>
          <w:shd w:val="clear" w:color="auto" w:fill="FFFFFF"/>
        </w:rPr>
        <w:t>202</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sz w:val="32"/>
          <w:szCs w:val="32"/>
          <w:shd w:val="clear" w:color="auto" w:fill="FFFFFF"/>
        </w:rPr>
        <w:t>年中关村科学城模型券</w:t>
      </w:r>
      <w:r>
        <w:rPr>
          <w:rFonts w:ascii="仿宋_GB2312" w:eastAsia="仿宋_GB2312" w:hAnsi="仿宋_GB2312" w:cs="仿宋_GB2312" w:hint="eastAsia"/>
          <w:sz w:val="32"/>
          <w:szCs w:val="32"/>
          <w:shd w:val="clear" w:color="auto" w:fill="FFFFFF"/>
        </w:rPr>
        <w:t>申报指南，征集期为7天，企业需在征集期内完成申报材料填写并提交。</w:t>
      </w:r>
    </w:p>
    <w:p w14:paraId="60DDD223" w14:textId="77777777" w:rsidR="001361D7" w:rsidRDefault="00000000">
      <w:pPr>
        <w:pStyle w:val="af2"/>
        <w:shd w:val="clear" w:color="auto" w:fill="FFFFFF"/>
        <w:overflowPunct w:val="0"/>
        <w:spacing w:beforeAutospacing="0" w:afterAutospacing="0" w:line="510" w:lineRule="exact"/>
        <w:ind w:firstLineChars="200" w:firstLine="640"/>
        <w:jc w:val="both"/>
        <w:rPr>
          <w:rFonts w:ascii="仿宋_GB2312" w:eastAsia="仿宋_GB2312" w:hAnsi="仿宋_GB2312" w:cs="仿宋_GB2312" w:hint="eastAsia"/>
          <w:sz w:val="32"/>
          <w:szCs w:val="32"/>
          <w:shd w:val="clear" w:color="auto" w:fill="FFFFFF"/>
        </w:rPr>
      </w:pPr>
      <w:r>
        <w:rPr>
          <w:rFonts w:ascii="黑体" w:eastAsia="黑体" w:hAnsi="黑体" w:cs="宋体" w:hint="eastAsia"/>
          <w:sz w:val="32"/>
          <w:szCs w:val="32"/>
        </w:rPr>
        <w:t>二、处室初审</w:t>
      </w:r>
    </w:p>
    <w:p w14:paraId="38D37476" w14:textId="77777777" w:rsidR="001361D7" w:rsidRDefault="00000000">
      <w:pPr>
        <w:pStyle w:val="af2"/>
        <w:shd w:val="clear" w:color="auto" w:fill="FFFFFF"/>
        <w:overflowPunct w:val="0"/>
        <w:spacing w:beforeAutospacing="0" w:afterAutospacing="0" w:line="51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初审环节，产业促进一处工作人员根据申报企业情况进行形式审查，针对企业模型备案情况、是否具备对外提供API调用服务能力、补贴方案是否符合要求等进行初筛。初审工作计划在5个工作日内完成。</w:t>
      </w:r>
    </w:p>
    <w:p w14:paraId="2327B45A" w14:textId="77777777" w:rsidR="001361D7" w:rsidRDefault="00000000">
      <w:pPr>
        <w:pStyle w:val="af2"/>
        <w:shd w:val="clear" w:color="auto" w:fill="FFFFFF"/>
        <w:overflowPunct w:val="0"/>
        <w:spacing w:beforeAutospacing="0" w:afterAutospacing="0" w:line="510" w:lineRule="exact"/>
        <w:ind w:firstLineChars="200" w:firstLine="640"/>
        <w:jc w:val="both"/>
        <w:rPr>
          <w:rFonts w:ascii="黑体" w:eastAsia="黑体" w:hAnsi="黑体" w:cs="宋体" w:hint="eastAsia"/>
          <w:sz w:val="32"/>
          <w:szCs w:val="32"/>
        </w:rPr>
      </w:pPr>
      <w:r>
        <w:rPr>
          <w:rFonts w:ascii="黑体" w:eastAsia="黑体" w:hAnsi="黑体" w:cs="宋体" w:hint="eastAsia"/>
          <w:sz w:val="32"/>
          <w:szCs w:val="32"/>
        </w:rPr>
        <w:t>三、专家复审</w:t>
      </w:r>
    </w:p>
    <w:p w14:paraId="453EA03C" w14:textId="2440DC41" w:rsidR="001361D7" w:rsidRDefault="00000000">
      <w:pPr>
        <w:overflowPunct w:val="0"/>
        <w:spacing w:after="0" w:line="510" w:lineRule="exact"/>
        <w:ind w:firstLineChars="200" w:firstLine="640"/>
        <w:rPr>
          <w:rFonts w:ascii="仿宋_GB2312" w:eastAsia="仿宋_GB2312" w:hAnsi="仿宋_GB2312" w:hint="eastAsia"/>
          <w:bCs/>
          <w:sz w:val="32"/>
          <w:szCs w:val="32"/>
        </w:rPr>
      </w:pPr>
      <w:r>
        <w:rPr>
          <w:rFonts w:ascii="仿宋_GB2312" w:eastAsia="仿宋_GB2312" w:hAnsi="仿宋_GB2312" w:cs="仿宋_GB2312" w:hint="eastAsia"/>
          <w:sz w:val="32"/>
          <w:szCs w:val="32"/>
        </w:rPr>
        <w:t>复审环节，将通过专家评审的方式进行遴选。拟邀请7位专家共同进行评审，包括3位技术专家（评分占比45%）、3位投资专家（评分占比45%）、1位财务专家（评分占比10%）。其中技术和投资专家</w:t>
      </w:r>
      <w:r>
        <w:rPr>
          <w:rFonts w:ascii="仿宋_GB2312" w:eastAsia="仿宋_GB2312" w:hAnsi="仿宋_GB2312" w:hint="eastAsia"/>
          <w:bCs/>
          <w:sz w:val="32"/>
          <w:szCs w:val="32"/>
        </w:rPr>
        <w:t>结合现有专家库专家及新型研发机构、科学城公司等推荐专家随机邀请，财务专家从专家库随机抽选。技术专家重点从模型架构、技术创新性等角度进行评估，投资专家重点结合企业提供的模型市场前景、补贴方案和应用生态建设情况等角度进行评估，财务专家重点从企业营收、研发投入等综合财</w:t>
      </w:r>
      <w:r>
        <w:rPr>
          <w:rFonts w:ascii="仿宋_GB2312" w:eastAsia="仿宋_GB2312" w:hAnsi="仿宋_GB2312" w:hint="eastAsia"/>
          <w:bCs/>
          <w:sz w:val="32"/>
          <w:szCs w:val="32"/>
        </w:rPr>
        <w:lastRenderedPageBreak/>
        <w:t>务状况进行评估。</w:t>
      </w:r>
      <w:r>
        <w:rPr>
          <w:rFonts w:ascii="仿宋_GB2312" w:eastAsia="仿宋_GB2312" w:hint="eastAsia"/>
          <w:sz w:val="32"/>
          <w:szCs w:val="32"/>
        </w:rPr>
        <w:t>为保证评审公</w:t>
      </w:r>
      <w:r w:rsidR="00A44F1F">
        <w:rPr>
          <w:rFonts w:ascii="仿宋_GB2312" w:eastAsia="仿宋_GB2312" w:hint="eastAsia"/>
          <w:sz w:val="32"/>
          <w:szCs w:val="32"/>
        </w:rPr>
        <w:t>平</w:t>
      </w:r>
      <w:r>
        <w:rPr>
          <w:rFonts w:ascii="仿宋_GB2312" w:eastAsia="仿宋_GB2312" w:hint="eastAsia"/>
          <w:sz w:val="32"/>
          <w:szCs w:val="32"/>
        </w:rPr>
        <w:t>公正，专家均签订承诺书，并对评审全程进行录音录像。</w:t>
      </w:r>
      <w:r>
        <w:rPr>
          <w:rFonts w:ascii="仿宋_GB2312" w:eastAsia="仿宋_GB2312" w:hAnsi="仿宋_GB2312" w:hint="eastAsia"/>
          <w:bCs/>
          <w:sz w:val="32"/>
          <w:szCs w:val="32"/>
        </w:rPr>
        <w:t>复审工作计划在5个工作日内完成。</w:t>
      </w:r>
    </w:p>
    <w:p w14:paraId="0E95F8D7" w14:textId="77777777" w:rsidR="001361D7" w:rsidRDefault="00000000">
      <w:pPr>
        <w:spacing w:after="0" w:line="550" w:lineRule="exact"/>
        <w:rPr>
          <w:rFonts w:ascii="黑体" w:eastAsia="黑体" w:hAnsi="黑体" w:cs="黑体" w:hint="eastAsia"/>
          <w:bCs/>
          <w:sz w:val="32"/>
          <w:szCs w:val="32"/>
        </w:rPr>
      </w:pPr>
      <w:r>
        <w:rPr>
          <w:rFonts w:ascii="黑体" w:eastAsia="黑体" w:hAnsi="黑体" w:cs="黑体" w:hint="eastAsia"/>
          <w:bCs/>
          <w:sz w:val="32"/>
          <w:szCs w:val="32"/>
        </w:rPr>
        <w:t>附件2</w:t>
      </w:r>
    </w:p>
    <w:p w14:paraId="2A77F7D2" w14:textId="77777777" w:rsidR="001361D7" w:rsidRDefault="001361D7">
      <w:pPr>
        <w:spacing w:after="0" w:line="560" w:lineRule="exact"/>
        <w:ind w:firstLine="440"/>
        <w:jc w:val="center"/>
        <w:rPr>
          <w:rFonts w:ascii="方正小标宋简体" w:eastAsia="方正小标宋简体"/>
          <w:sz w:val="44"/>
          <w:szCs w:val="44"/>
        </w:rPr>
      </w:pPr>
    </w:p>
    <w:p w14:paraId="576AF11B" w14:textId="77777777" w:rsidR="001361D7" w:rsidRDefault="00000000">
      <w:pPr>
        <w:spacing w:after="0" w:line="560" w:lineRule="exact"/>
        <w:ind w:firstLine="440"/>
        <w:jc w:val="center"/>
        <w:rPr>
          <w:rFonts w:ascii="方正小标宋简体" w:eastAsia="方正小标宋简体"/>
          <w:sz w:val="44"/>
          <w:szCs w:val="44"/>
        </w:rPr>
      </w:pPr>
      <w:r>
        <w:rPr>
          <w:rFonts w:ascii="方正小标宋简体" w:eastAsia="方正小标宋简体" w:hint="eastAsia"/>
          <w:sz w:val="44"/>
          <w:szCs w:val="44"/>
        </w:rPr>
        <w:t>2026年中关村科学城模型券政策申报书</w:t>
      </w:r>
    </w:p>
    <w:p w14:paraId="3CB06D07" w14:textId="77777777" w:rsidR="001361D7" w:rsidRDefault="00000000">
      <w:pPr>
        <w:spacing w:after="0" w:line="560" w:lineRule="exact"/>
        <w:ind w:firstLine="320"/>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（编制要点）</w:t>
      </w:r>
    </w:p>
    <w:p w14:paraId="575385AD" w14:textId="77777777" w:rsidR="001361D7" w:rsidRDefault="001361D7">
      <w:pPr>
        <w:overflowPunct w:val="0"/>
        <w:spacing w:after="0" w:line="560" w:lineRule="exact"/>
        <w:ind w:firstLineChars="200" w:firstLine="640"/>
        <w:rPr>
          <w:rFonts w:ascii="楷体_GB2312" w:eastAsia="楷体_GB2312" w:hAnsi="楷体_GB2312" w:cs="楷体_GB2312" w:hint="eastAsia"/>
          <w:sz w:val="32"/>
          <w:szCs w:val="32"/>
        </w:rPr>
      </w:pPr>
    </w:p>
    <w:p w14:paraId="3A3C1969" w14:textId="77777777" w:rsidR="001361D7" w:rsidRDefault="00000000">
      <w:pPr>
        <w:overflowPunct w:val="0"/>
        <w:spacing w:after="0" w:line="49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一、申报企业基本情况：</w:t>
      </w:r>
    </w:p>
    <w:p w14:paraId="2EA7A9A3" w14:textId="77777777" w:rsidR="001361D7" w:rsidRDefault="00000000">
      <w:pPr>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包括但不限于：</w:t>
      </w:r>
    </w:p>
    <w:p w14:paraId="7123998B" w14:textId="77777777" w:rsidR="001361D7" w:rsidRDefault="00000000">
      <w:pPr>
        <w:tabs>
          <w:tab w:val="left" w:pos="312"/>
        </w:tabs>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1.企业业务及营收情况</w:t>
      </w:r>
    </w:p>
    <w:p w14:paraId="7DC666B3" w14:textId="77777777" w:rsidR="001361D7" w:rsidRDefault="00000000">
      <w:pPr>
        <w:tabs>
          <w:tab w:val="left" w:pos="312"/>
        </w:tabs>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2.团队情况及财务情况</w:t>
      </w:r>
    </w:p>
    <w:p w14:paraId="3F5ECEF3" w14:textId="77777777" w:rsidR="001361D7" w:rsidRDefault="00000000">
      <w:pPr>
        <w:tabs>
          <w:tab w:val="left" w:pos="312"/>
        </w:tabs>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3.企业基础大模型备案及安全可控情况</w:t>
      </w:r>
    </w:p>
    <w:p w14:paraId="333605BD" w14:textId="77777777" w:rsidR="001361D7" w:rsidRDefault="00000000">
      <w:pPr>
        <w:tabs>
          <w:tab w:val="left" w:pos="312"/>
        </w:tabs>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4.企业基础大模型性能</w:t>
      </w:r>
    </w:p>
    <w:p w14:paraId="3A86E5BF" w14:textId="77777777" w:rsidR="001361D7" w:rsidRDefault="00000000">
      <w:pPr>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5.企业API调用服务情况（日调用Token数及服务企业数量），包括服务海淀企业清单</w:t>
      </w:r>
    </w:p>
    <w:p w14:paraId="6428B22B" w14:textId="77777777" w:rsidR="001361D7" w:rsidRDefault="00000000">
      <w:pPr>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6.企业API调用占据市场份额及市场地位</w:t>
      </w:r>
    </w:p>
    <w:p w14:paraId="0847F70A" w14:textId="77777777" w:rsidR="001361D7" w:rsidRDefault="00000000">
      <w:pPr>
        <w:overflowPunct w:val="0"/>
        <w:spacing w:after="0" w:line="49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二、补贴方案</w:t>
      </w:r>
    </w:p>
    <w:p w14:paraId="4BDCDED3" w14:textId="77777777" w:rsidR="001361D7" w:rsidRDefault="00000000">
      <w:pPr>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包括但不限于：</w:t>
      </w:r>
    </w:p>
    <w:p w14:paraId="735D1439" w14:textId="77777777" w:rsidR="001361D7" w:rsidRDefault="00000000">
      <w:pPr>
        <w:tabs>
          <w:tab w:val="left" w:pos="312"/>
        </w:tabs>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1.模型应用成效</w:t>
      </w:r>
    </w:p>
    <w:p w14:paraId="54DDCB29" w14:textId="77777777" w:rsidR="001361D7" w:rsidRDefault="00000000">
      <w:pPr>
        <w:tabs>
          <w:tab w:val="left" w:pos="312"/>
        </w:tabs>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2.具体补贴方式</w:t>
      </w:r>
    </w:p>
    <w:p w14:paraId="5BC7D8DB" w14:textId="77777777" w:rsidR="001361D7" w:rsidRDefault="00000000">
      <w:pPr>
        <w:tabs>
          <w:tab w:val="left" w:pos="312"/>
        </w:tabs>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3.用户企业可享受补贴的门槛设定及考虑</w:t>
      </w:r>
    </w:p>
    <w:p w14:paraId="1CD73828" w14:textId="77777777" w:rsidR="001361D7" w:rsidRDefault="00000000">
      <w:pPr>
        <w:tabs>
          <w:tab w:val="left" w:pos="312"/>
        </w:tabs>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4.资金测算</w:t>
      </w:r>
    </w:p>
    <w:p w14:paraId="07920DE8" w14:textId="77777777" w:rsidR="001361D7" w:rsidRDefault="00000000">
      <w:pPr>
        <w:overflowPunct w:val="0"/>
        <w:spacing w:after="0" w:line="49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三、预期成效</w:t>
      </w:r>
    </w:p>
    <w:p w14:paraId="092C39AD" w14:textId="77777777" w:rsidR="001361D7" w:rsidRDefault="00000000">
      <w:pPr>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包括但不限于：</w:t>
      </w:r>
    </w:p>
    <w:p w14:paraId="00AD64C3" w14:textId="77777777" w:rsidR="001361D7" w:rsidRDefault="00000000">
      <w:pPr>
        <w:tabs>
          <w:tab w:val="left" w:pos="312"/>
        </w:tabs>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1.企业本身发展</w:t>
      </w:r>
    </w:p>
    <w:p w14:paraId="16FF4830" w14:textId="77777777" w:rsidR="001361D7" w:rsidRDefault="00000000">
      <w:pPr>
        <w:tabs>
          <w:tab w:val="left" w:pos="312"/>
        </w:tabs>
        <w:overflowPunct w:val="0"/>
        <w:spacing w:after="0" w:line="4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2.用户企业带动作用</w:t>
      </w:r>
    </w:p>
    <w:p w14:paraId="5A810785" w14:textId="77777777" w:rsidR="001361D7" w:rsidRDefault="00000000">
      <w:pPr>
        <w:tabs>
          <w:tab w:val="left" w:pos="312"/>
        </w:tabs>
        <w:overflowPunct w:val="0"/>
        <w:spacing w:after="0" w:line="490" w:lineRule="exact"/>
        <w:ind w:firstLineChars="200" w:firstLine="640"/>
      </w:pPr>
      <w:r>
        <w:rPr>
          <w:rFonts w:ascii="仿宋_GB2312" w:eastAsia="仿宋_GB2312" w:hAnsi="仿宋_GB2312" w:cs="仿宋_GB2312" w:hint="eastAsia"/>
          <w:sz w:val="32"/>
          <w:szCs w:val="32"/>
        </w:rPr>
        <w:t>3.对海淀区人工智能产业创新生态营造效果</w:t>
      </w:r>
    </w:p>
    <w:sectPr w:rsidR="001361D7">
      <w:footerReference w:type="even" r:id="rId9"/>
      <w:footerReference w:type="default" r:id="rId10"/>
      <w:pgSz w:w="11906" w:h="16838"/>
      <w:pgMar w:top="2098" w:right="1531" w:bottom="1984" w:left="1531" w:header="851" w:footer="1418"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A4BB" w14:textId="77777777" w:rsidR="0097722A" w:rsidRDefault="0097722A">
      <w:pPr>
        <w:spacing w:line="240" w:lineRule="auto"/>
      </w:pPr>
      <w:r>
        <w:separator/>
      </w:r>
    </w:p>
  </w:endnote>
  <w:endnote w:type="continuationSeparator" w:id="0">
    <w:p w14:paraId="4644DBE1" w14:textId="77777777" w:rsidR="0097722A" w:rsidRDefault="00977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6C9324F-B246-4CCD-96B2-A14AB8DA667C}"/>
  </w:font>
  <w:font w:name="方正小标宋简体">
    <w:altName w:val="微软雅黑"/>
    <w:charset w:val="86"/>
    <w:family w:val="auto"/>
    <w:pitch w:val="default"/>
    <w:sig w:usb0="A00002BF" w:usb1="184F6CFA" w:usb2="00000012" w:usb3="00000000" w:csb0="00040001" w:csb1="00000000"/>
  </w:font>
  <w:font w:name="Liberation Sans">
    <w:altName w:val="宋体"/>
    <w:charset w:val="00"/>
    <w:family w:val="swiss"/>
    <w:pitch w:val="default"/>
    <w:sig w:usb0="00000000" w:usb1="00000000" w:usb2="00000000" w:usb3="00000000" w:csb0="00040001" w:csb1="00000000"/>
  </w:font>
  <w:font w:name="Noto Sans CJK SC Regular">
    <w:charset w:val="7A"/>
    <w:family w:val="auto"/>
    <w:pitch w:val="default"/>
    <w:sig w:usb0="30000003" w:usb1="2BDF3C10" w:usb2="00000016" w:usb3="00000000" w:csb0="602E0107"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5473" w14:textId="77777777" w:rsidR="001361D7" w:rsidRDefault="00000000">
    <w:pPr>
      <w:pStyle w:val="ab"/>
      <w:spacing w:after="0" w:line="240" w:lineRule="auto"/>
      <w:rPr>
        <w:rFonts w:ascii="宋体" w:hAnsi="宋体" w:hint="eastAsia"/>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B18F" w14:textId="77777777" w:rsidR="001361D7" w:rsidRDefault="00000000">
    <w:pPr>
      <w:pStyle w:val="ab"/>
      <w:spacing w:after="0" w:line="240" w:lineRule="auto"/>
      <w:jc w:val="right"/>
      <w:rPr>
        <w:rFonts w:ascii="宋体" w:hAnsi="宋体" w:hint="eastAsia"/>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8483" w14:textId="77777777" w:rsidR="0097722A" w:rsidRDefault="0097722A">
      <w:pPr>
        <w:spacing w:line="240" w:lineRule="auto"/>
      </w:pPr>
      <w:r>
        <w:separator/>
      </w:r>
    </w:p>
  </w:footnote>
  <w:footnote w:type="continuationSeparator" w:id="0">
    <w:p w14:paraId="48AB3F0A" w14:textId="77777777" w:rsidR="0097722A" w:rsidRDefault="009772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AB"/>
    <w:rsid w:val="001361D7"/>
    <w:rsid w:val="001D02AB"/>
    <w:rsid w:val="001E5EA6"/>
    <w:rsid w:val="00260187"/>
    <w:rsid w:val="004942EC"/>
    <w:rsid w:val="004B2A4D"/>
    <w:rsid w:val="0059627D"/>
    <w:rsid w:val="005C102F"/>
    <w:rsid w:val="005F3531"/>
    <w:rsid w:val="006B2AA2"/>
    <w:rsid w:val="00760808"/>
    <w:rsid w:val="00820B6D"/>
    <w:rsid w:val="00895EFD"/>
    <w:rsid w:val="0097722A"/>
    <w:rsid w:val="009C43FA"/>
    <w:rsid w:val="00A44F1F"/>
    <w:rsid w:val="00B82241"/>
    <w:rsid w:val="00BC2D6B"/>
    <w:rsid w:val="00D7286F"/>
    <w:rsid w:val="00E43E19"/>
    <w:rsid w:val="00FA4A85"/>
    <w:rsid w:val="0CE7CB6F"/>
    <w:rsid w:val="11FA7B94"/>
    <w:rsid w:val="1BCF6200"/>
    <w:rsid w:val="1CFC4000"/>
    <w:rsid w:val="27BE939B"/>
    <w:rsid w:val="2CD769BD"/>
    <w:rsid w:val="33BFF203"/>
    <w:rsid w:val="36F256B8"/>
    <w:rsid w:val="3DBFE586"/>
    <w:rsid w:val="3DDFA5DC"/>
    <w:rsid w:val="3DEA8F1D"/>
    <w:rsid w:val="3DFF0F6A"/>
    <w:rsid w:val="3E3AD741"/>
    <w:rsid w:val="3EFFD7D4"/>
    <w:rsid w:val="3F5A45F8"/>
    <w:rsid w:val="3F5CF2C5"/>
    <w:rsid w:val="3F6D3313"/>
    <w:rsid w:val="3FDD0F7B"/>
    <w:rsid w:val="3FFF5320"/>
    <w:rsid w:val="44487ECB"/>
    <w:rsid w:val="4FEE967C"/>
    <w:rsid w:val="57F7CA26"/>
    <w:rsid w:val="5A505FB0"/>
    <w:rsid w:val="5ABF83CA"/>
    <w:rsid w:val="5BFBBB8C"/>
    <w:rsid w:val="5EE7EC7F"/>
    <w:rsid w:val="5EFFBB60"/>
    <w:rsid w:val="5F7DC2A7"/>
    <w:rsid w:val="636E7091"/>
    <w:rsid w:val="66EF7B0C"/>
    <w:rsid w:val="67CF81F8"/>
    <w:rsid w:val="67FB1BA0"/>
    <w:rsid w:val="6BCD8431"/>
    <w:rsid w:val="6DBB83E2"/>
    <w:rsid w:val="6DFBC6B0"/>
    <w:rsid w:val="6EF6A581"/>
    <w:rsid w:val="6EF8DEC9"/>
    <w:rsid w:val="6FDE46D3"/>
    <w:rsid w:val="6FDE4C9C"/>
    <w:rsid w:val="717B0678"/>
    <w:rsid w:val="73F74918"/>
    <w:rsid w:val="75794B4B"/>
    <w:rsid w:val="76E70073"/>
    <w:rsid w:val="77A74042"/>
    <w:rsid w:val="785F6808"/>
    <w:rsid w:val="7A5F18C3"/>
    <w:rsid w:val="7A926543"/>
    <w:rsid w:val="7BF1F047"/>
    <w:rsid w:val="7CCDBD41"/>
    <w:rsid w:val="7D75C576"/>
    <w:rsid w:val="7D7F9505"/>
    <w:rsid w:val="7DBFD75F"/>
    <w:rsid w:val="7DF79CD9"/>
    <w:rsid w:val="7DFD3F35"/>
    <w:rsid w:val="7EBE80A8"/>
    <w:rsid w:val="7EDB90CE"/>
    <w:rsid w:val="7EDBFC55"/>
    <w:rsid w:val="7EFDB671"/>
    <w:rsid w:val="7EFF599D"/>
    <w:rsid w:val="7F21688B"/>
    <w:rsid w:val="7F77638F"/>
    <w:rsid w:val="7FADC13C"/>
    <w:rsid w:val="7FAF2937"/>
    <w:rsid w:val="7FEF4334"/>
    <w:rsid w:val="7FFDA5A7"/>
    <w:rsid w:val="7FFEE82F"/>
    <w:rsid w:val="84BF2E9F"/>
    <w:rsid w:val="8FEFC45E"/>
    <w:rsid w:val="8FFD9D04"/>
    <w:rsid w:val="9C175A1C"/>
    <w:rsid w:val="A1C74754"/>
    <w:rsid w:val="AFE61A7E"/>
    <w:rsid w:val="BCDD3B69"/>
    <w:rsid w:val="BCFBCEC4"/>
    <w:rsid w:val="BDFABA47"/>
    <w:rsid w:val="BDFE8546"/>
    <w:rsid w:val="BEFFF646"/>
    <w:rsid w:val="BF3FBD2D"/>
    <w:rsid w:val="BFBF424B"/>
    <w:rsid w:val="CCBFBC14"/>
    <w:rsid w:val="CFDF90A7"/>
    <w:rsid w:val="CFEF88B0"/>
    <w:rsid w:val="D3FE0CC5"/>
    <w:rsid w:val="D72E7EE5"/>
    <w:rsid w:val="D9FDF704"/>
    <w:rsid w:val="DDDE200C"/>
    <w:rsid w:val="DECD802F"/>
    <w:rsid w:val="DEFD20E9"/>
    <w:rsid w:val="DF1F13F6"/>
    <w:rsid w:val="DF7F7321"/>
    <w:rsid w:val="DFFE9BD1"/>
    <w:rsid w:val="DFFFA36C"/>
    <w:rsid w:val="E2773FEB"/>
    <w:rsid w:val="E9FFAC42"/>
    <w:rsid w:val="EAFA793C"/>
    <w:rsid w:val="EBFE2018"/>
    <w:rsid w:val="EDDF3521"/>
    <w:rsid w:val="EFF622D7"/>
    <w:rsid w:val="F1DF7E38"/>
    <w:rsid w:val="F29F04D1"/>
    <w:rsid w:val="F3DDCDC0"/>
    <w:rsid w:val="F5F51FBA"/>
    <w:rsid w:val="F7575AAA"/>
    <w:rsid w:val="F7FF11EA"/>
    <w:rsid w:val="F8F7E879"/>
    <w:rsid w:val="F96498E5"/>
    <w:rsid w:val="F9AB4BE7"/>
    <w:rsid w:val="FA5C9D06"/>
    <w:rsid w:val="FAB7F150"/>
    <w:rsid w:val="FAF97D6C"/>
    <w:rsid w:val="FB770F04"/>
    <w:rsid w:val="FBA389AD"/>
    <w:rsid w:val="FBDE0588"/>
    <w:rsid w:val="FBEFF29E"/>
    <w:rsid w:val="FDBE21E3"/>
    <w:rsid w:val="FE3E678B"/>
    <w:rsid w:val="FEBE0B03"/>
    <w:rsid w:val="FF7F8186"/>
    <w:rsid w:val="FFAD32C0"/>
    <w:rsid w:val="FFBB924B"/>
    <w:rsid w:val="FFCED3F3"/>
    <w:rsid w:val="FFDB7700"/>
    <w:rsid w:val="FFEF9AC4"/>
    <w:rsid w:val="FFF4A026"/>
    <w:rsid w:val="FFFC446B"/>
    <w:rsid w:val="FFFFC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59D9B"/>
  <w15:docId w15:val="{2203EF15-5633-4B89-8BC7-79C8DFFD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
    <w:qFormat/>
    <w:pPr>
      <w:widowControl w:val="0"/>
      <w:suppressAutoHyphens/>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next w:val="a"/>
    <w:qFormat/>
    <w:pPr>
      <w:spacing w:after="120"/>
      <w:textAlignment w:val="baseline"/>
    </w:pPr>
  </w:style>
  <w:style w:type="paragraph" w:styleId="a3">
    <w:name w:val="Normal Indent"/>
    <w:basedOn w:val="a"/>
    <w:uiPriority w:val="99"/>
    <w:qFormat/>
    <w:pPr>
      <w:ind w:firstLineChars="200" w:firstLine="420"/>
    </w:pPr>
    <w:rPr>
      <w:rFonts w:cs="黑体"/>
    </w:rPr>
  </w:style>
  <w:style w:type="paragraph" w:styleId="a4">
    <w:name w:val="caption"/>
    <w:basedOn w:val="a"/>
    <w:next w:val="a"/>
    <w:qFormat/>
    <w:pPr>
      <w:suppressLineNumbers/>
      <w:spacing w:before="120" w:after="120"/>
    </w:pPr>
    <w:rPr>
      <w:rFonts w:ascii="Times New Roman" w:hAnsi="Times New Roman"/>
      <w:i/>
      <w:iCs/>
      <w:sz w:val="24"/>
    </w:rPr>
  </w:style>
  <w:style w:type="paragraph" w:styleId="a5">
    <w:name w:val="annotation text"/>
    <w:basedOn w:val="a"/>
    <w:link w:val="a6"/>
    <w:uiPriority w:val="99"/>
    <w:qFormat/>
    <w:pPr>
      <w:jc w:val="left"/>
    </w:pPr>
  </w:style>
  <w:style w:type="paragraph" w:styleId="a7">
    <w:name w:val="Body Text"/>
    <w:basedOn w:val="a"/>
    <w:qFormat/>
    <w:pPr>
      <w:spacing w:after="140" w:line="276" w:lineRule="auto"/>
    </w:pPr>
    <w:rPr>
      <w:rFonts w:ascii="Times New Roman" w:hAnsi="Times New Roman"/>
    </w:rPr>
  </w:style>
  <w:style w:type="paragraph" w:styleId="a8">
    <w:name w:val="Body Text Indent"/>
    <w:basedOn w:val="a"/>
    <w:next w:val="a3"/>
    <w:qFormat/>
    <w:pPr>
      <w:ind w:leftChars="200" w:left="420"/>
    </w:pPr>
    <w:rPr>
      <w:rFonts w:ascii="Times New Roman" w:hAnsi="Times New Roman"/>
    </w:rPr>
  </w:style>
  <w:style w:type="paragraph" w:styleId="a9">
    <w:name w:val="Balloon Text"/>
    <w:basedOn w:val="a"/>
    <w:link w:val="aa"/>
    <w:qFormat/>
    <w:rPr>
      <w:rFonts w:ascii="Times New Roman" w:hAnsi="Times New Roman"/>
      <w:sz w:val="18"/>
      <w:szCs w:val="18"/>
    </w:rPr>
  </w:style>
  <w:style w:type="paragraph" w:styleId="ab">
    <w:name w:val="footer"/>
    <w:basedOn w:val="a"/>
    <w:link w:val="ac"/>
    <w:uiPriority w:val="99"/>
    <w:qFormat/>
    <w:pPr>
      <w:tabs>
        <w:tab w:val="center" w:pos="4153"/>
        <w:tab w:val="right" w:pos="8306"/>
      </w:tabs>
      <w:snapToGrid w:val="0"/>
      <w:jc w:val="left"/>
    </w:pPr>
    <w:rPr>
      <w:rFonts w:ascii="Times New Roman" w:hAnsi="Times New Roman"/>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f">
    <w:name w:val="List"/>
    <w:basedOn w:val="a7"/>
    <w:qFormat/>
  </w:style>
  <w:style w:type="paragraph" w:styleId="af0">
    <w:name w:val="footnote text"/>
    <w:basedOn w:val="a"/>
    <w:link w:val="af1"/>
    <w:qFormat/>
    <w:pPr>
      <w:snapToGrid w:val="0"/>
      <w:jc w:val="left"/>
    </w:pPr>
    <w:rPr>
      <w:sz w:val="18"/>
      <w:szCs w:val="18"/>
    </w:rPr>
  </w:style>
  <w:style w:type="paragraph" w:styleId="af2">
    <w:name w:val="Normal (Web)"/>
    <w:basedOn w:val="a"/>
    <w:qFormat/>
    <w:pPr>
      <w:spacing w:beforeAutospacing="1" w:after="0" w:afterAutospacing="1"/>
      <w:jc w:val="left"/>
    </w:pPr>
    <w:rPr>
      <w:kern w:val="0"/>
      <w:sz w:val="24"/>
    </w:rPr>
  </w:style>
  <w:style w:type="paragraph" w:styleId="af3">
    <w:name w:val="annotation subject"/>
    <w:basedOn w:val="a5"/>
    <w:next w:val="a5"/>
    <w:link w:val="af4"/>
    <w:uiPriority w:val="99"/>
    <w:qFormat/>
    <w:rPr>
      <w:b/>
      <w:bCs/>
    </w:rPr>
  </w:style>
  <w:style w:type="paragraph" w:styleId="2">
    <w:name w:val="Body Text First Indent 2"/>
    <w:basedOn w:val="a8"/>
    <w:next w:val="a"/>
    <w:uiPriority w:val="99"/>
    <w:qFormat/>
    <w:pPr>
      <w:ind w:firstLine="420"/>
    </w:pPr>
  </w:style>
  <w:style w:type="table" w:styleId="af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qFormat/>
    <w:rPr>
      <w:rFonts w:ascii="Times New Roman" w:eastAsia="宋体" w:hAnsi="Times New Roman" w:cs="Times New Roman"/>
    </w:rPr>
  </w:style>
  <w:style w:type="character" w:styleId="af7">
    <w:name w:val="Hyperlink"/>
    <w:qFormat/>
    <w:rPr>
      <w:rFonts w:ascii="Times New Roman" w:eastAsia="宋体" w:hAnsi="Times New Roman" w:cs="Times New Roman"/>
      <w:color w:val="0000FF"/>
      <w:u w:val="single"/>
    </w:rPr>
  </w:style>
  <w:style w:type="character" w:styleId="af8">
    <w:name w:val="annotation reference"/>
    <w:uiPriority w:val="99"/>
    <w:qFormat/>
    <w:rPr>
      <w:rFonts w:ascii="Times New Roman" w:eastAsia="宋体" w:hAnsi="Times New Roman" w:cs="Times New Roman"/>
      <w:sz w:val="21"/>
      <w:szCs w:val="21"/>
    </w:rPr>
  </w:style>
  <w:style w:type="character" w:styleId="af9">
    <w:name w:val="footnote reference"/>
    <w:basedOn w:val="a0"/>
    <w:qFormat/>
    <w:rPr>
      <w:vertAlign w:val="superscript"/>
    </w:rPr>
  </w:style>
  <w:style w:type="paragraph" w:customStyle="1" w:styleId="1">
    <w:name w:val="样式1标题"/>
    <w:basedOn w:val="a"/>
    <w:qFormat/>
    <w:pPr>
      <w:widowControl/>
      <w:tabs>
        <w:tab w:val="center" w:pos="4617"/>
        <w:tab w:val="right" w:pos="9234"/>
      </w:tabs>
      <w:spacing w:line="560" w:lineRule="exact"/>
      <w:jc w:val="center"/>
    </w:pPr>
    <w:rPr>
      <w:rFonts w:ascii="方正小标宋简体" w:eastAsia="方正小标宋简体" w:hAnsi="方正小标宋简体" w:cs="方正小标宋简体"/>
      <w:sz w:val="44"/>
      <w:szCs w:val="44"/>
    </w:rPr>
  </w:style>
  <w:style w:type="paragraph" w:customStyle="1" w:styleId="BodyText1I2">
    <w:name w:val="BodyText1I2"/>
    <w:basedOn w:val="BodyTextIndent"/>
    <w:qFormat/>
    <w:pPr>
      <w:ind w:firstLine="420"/>
    </w:pPr>
    <w:rPr>
      <w:rFonts w:ascii="Times New Roman" w:hAnsi="Times New Roman"/>
    </w:rPr>
  </w:style>
  <w:style w:type="paragraph" w:customStyle="1" w:styleId="BodyTextIndent">
    <w:name w:val="BodyTextIndent"/>
    <w:basedOn w:val="a"/>
    <w:qFormat/>
    <w:pPr>
      <w:ind w:leftChars="200" w:left="420"/>
      <w:textAlignment w:val="baseline"/>
    </w:pPr>
  </w:style>
  <w:style w:type="paragraph" w:customStyle="1" w:styleId="21">
    <w:name w:val="正文首行缩进 21"/>
    <w:basedOn w:val="a8"/>
    <w:qFormat/>
    <w:pPr>
      <w:ind w:firstLine="420"/>
    </w:pPr>
  </w:style>
  <w:style w:type="character" w:customStyle="1" w:styleId="a6">
    <w:name w:val="批注文字 字符"/>
    <w:link w:val="a5"/>
    <w:uiPriority w:val="99"/>
    <w:qFormat/>
    <w:rPr>
      <w:rFonts w:ascii="Calibri" w:eastAsia="宋体" w:hAnsi="Calibri" w:cs="Times New Roman"/>
      <w:kern w:val="2"/>
      <w:sz w:val="21"/>
      <w:szCs w:val="24"/>
    </w:rPr>
  </w:style>
  <w:style w:type="character" w:customStyle="1" w:styleId="aa">
    <w:name w:val="批注框文本 字符"/>
    <w:link w:val="a9"/>
    <w:qFormat/>
    <w:rPr>
      <w:rFonts w:ascii="Calibri" w:eastAsia="宋体" w:hAnsi="Calibri" w:cs="Times New Roman"/>
      <w:kern w:val="2"/>
      <w:sz w:val="18"/>
      <w:szCs w:val="18"/>
    </w:rPr>
  </w:style>
  <w:style w:type="character" w:customStyle="1" w:styleId="ae">
    <w:name w:val="页眉 字符"/>
    <w:link w:val="ad"/>
    <w:qFormat/>
    <w:rPr>
      <w:rFonts w:ascii="Calibri" w:eastAsia="宋体" w:hAnsi="Calibri" w:cs="Times New Roman"/>
      <w:kern w:val="2"/>
      <w:sz w:val="18"/>
      <w:szCs w:val="18"/>
    </w:rPr>
  </w:style>
  <w:style w:type="character" w:customStyle="1" w:styleId="af4">
    <w:name w:val="批注主题 字符"/>
    <w:link w:val="af3"/>
    <w:uiPriority w:val="99"/>
    <w:qFormat/>
    <w:rPr>
      <w:rFonts w:ascii="Calibri" w:eastAsia="宋体" w:hAnsi="Calibri" w:cs="Times New Roman"/>
      <w:b/>
      <w:bCs/>
      <w:kern w:val="2"/>
      <w:sz w:val="21"/>
      <w:szCs w:val="24"/>
    </w:rPr>
  </w:style>
  <w:style w:type="paragraph" w:customStyle="1" w:styleId="afa">
    <w:name w:val="列出段落"/>
    <w:basedOn w:val="a"/>
    <w:qFormat/>
    <w:pPr>
      <w:widowControl/>
      <w:ind w:firstLineChars="200" w:firstLine="420"/>
      <w:jc w:val="left"/>
    </w:pPr>
    <w:rPr>
      <w:rFonts w:ascii="宋体" w:hAnsi="宋体" w:cs="宋体"/>
      <w:kern w:val="0"/>
      <w:sz w:val="24"/>
    </w:rPr>
  </w:style>
  <w:style w:type="paragraph" w:customStyle="1" w:styleId="10">
    <w:name w:val="列表段落1"/>
    <w:basedOn w:val="a"/>
    <w:qFormat/>
    <w:pPr>
      <w:ind w:firstLineChars="200" w:firstLine="420"/>
    </w:pPr>
    <w:rPr>
      <w:rFonts w:ascii="Times New Roman" w:hAnsi="Times New Roman"/>
    </w:rPr>
  </w:style>
  <w:style w:type="character" w:customStyle="1" w:styleId="NormalCharacter">
    <w:name w:val="NormalCharacter"/>
    <w:qFormat/>
    <w:rPr>
      <w:rFonts w:ascii="Times New Roman" w:eastAsia="宋体" w:hAnsi="Times New Roman" w:cs="Times New Roman"/>
    </w:rPr>
  </w:style>
  <w:style w:type="paragraph" w:customStyle="1" w:styleId="11">
    <w:name w:val="正文1"/>
    <w:qFormat/>
    <w:pPr>
      <w:jc w:val="both"/>
    </w:pPr>
    <w:rPr>
      <w:rFonts w:ascii="Calibri" w:hAnsi="Calibri" w:cs="Calibri"/>
      <w:kern w:val="2"/>
      <w:sz w:val="21"/>
      <w:szCs w:val="21"/>
    </w:rPr>
  </w:style>
  <w:style w:type="character" w:customStyle="1" w:styleId="12">
    <w:name w:val="默认段落字体1"/>
    <w:qFormat/>
    <w:rPr>
      <w:rFonts w:ascii="Times New Roman" w:eastAsia="宋体" w:hAnsi="Times New Roman" w:cs="Times New Roman"/>
    </w:rPr>
  </w:style>
  <w:style w:type="paragraph" w:customStyle="1" w:styleId="13">
    <w:name w:val="修订1"/>
    <w:qFormat/>
    <w:rPr>
      <w:rFonts w:ascii="Calibri" w:hAnsi="Calibri"/>
      <w:kern w:val="2"/>
      <w:sz w:val="21"/>
      <w:szCs w:val="24"/>
    </w:rPr>
  </w:style>
  <w:style w:type="paragraph" w:customStyle="1" w:styleId="Heading">
    <w:name w:val="Heading"/>
    <w:basedOn w:val="a"/>
    <w:next w:val="a7"/>
    <w:qFormat/>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pPr>
      <w:suppressLineNumbers/>
    </w:pPr>
    <w:rPr>
      <w:rFonts w:ascii="Times New Roman" w:hAnsi="Times New Roman"/>
    </w:rPr>
  </w:style>
  <w:style w:type="character" w:customStyle="1" w:styleId="af1">
    <w:name w:val="脚注文本 字符"/>
    <w:basedOn w:val="a0"/>
    <w:link w:val="af0"/>
    <w:qFormat/>
    <w:rPr>
      <w:rFonts w:ascii="Calibri" w:hAnsi="Calibri"/>
      <w:kern w:val="2"/>
      <w:sz w:val="18"/>
      <w:szCs w:val="18"/>
    </w:rPr>
  </w:style>
  <w:style w:type="paragraph" w:customStyle="1" w:styleId="AutoFormat3No">
    <w:name w:val="AutoFormat_3_No#"/>
    <w:qFormat/>
    <w:pPr>
      <w:widowControl w:val="0"/>
      <w:adjustRightInd w:val="0"/>
      <w:spacing w:before="120" w:after="120" w:line="276" w:lineRule="auto"/>
      <w:ind w:left="1440"/>
      <w:jc w:val="both"/>
      <w:outlineLvl w:val="2"/>
    </w:pPr>
    <w:rPr>
      <w:sz w:val="24"/>
      <w:szCs w:val="22"/>
      <w:lang w:val="en-GB"/>
    </w:rPr>
  </w:style>
  <w:style w:type="character" w:customStyle="1" w:styleId="ac">
    <w:name w:val="页脚 字符"/>
    <w:basedOn w:val="a0"/>
    <w:link w:val="ab"/>
    <w:uiPriority w:val="99"/>
    <w:qFormat/>
    <w:rPr>
      <w:kern w:val="2"/>
      <w:sz w:val="18"/>
      <w:szCs w:val="18"/>
    </w:rPr>
  </w:style>
  <w:style w:type="paragraph" w:styleId="afb">
    <w:name w:val="List Paragraph"/>
    <w:basedOn w:val="a"/>
    <w:uiPriority w:val="34"/>
    <w:qFormat/>
    <w:pPr>
      <w:widowControl/>
      <w:ind w:firstLineChars="200" w:firstLine="420"/>
      <w:jc w:val="left"/>
    </w:pPr>
    <w:rPr>
      <w:rFonts w:ascii="宋体" w:hAnsi="宋体" w:cs="宋体"/>
      <w:kern w:val="0"/>
      <w:sz w:val="24"/>
    </w:rPr>
  </w:style>
  <w:style w:type="character" w:customStyle="1" w:styleId="14">
    <w:name w:val="未处理的提及1"/>
    <w:basedOn w:val="a0"/>
    <w:uiPriority w:val="99"/>
    <w:qFormat/>
    <w:rPr>
      <w:color w:val="605E5C"/>
      <w:shd w:val="clear" w:color="auto" w:fill="E1DFDD"/>
    </w:rPr>
  </w:style>
  <w:style w:type="paragraph" w:customStyle="1" w:styleId="afc">
    <w:name w:val="尽调正文"/>
    <w:basedOn w:val="a"/>
    <w:qFormat/>
    <w:pPr>
      <w:adjustRightInd w:val="0"/>
      <w:snapToGrid w:val="0"/>
      <w:spacing w:beforeLines="50" w:before="50" w:line="360" w:lineRule="auto"/>
      <w:ind w:firstLine="200"/>
    </w:pPr>
    <w:rPr>
      <w:rFonts w:ascii="Times New Roman" w:hAnsi="Times New Roman" w:cs="Arial"/>
    </w:rPr>
  </w:style>
  <w:style w:type="character" w:customStyle="1" w:styleId="font31">
    <w:name w:val="font31"/>
    <w:basedOn w:val="a0"/>
    <w:qFormat/>
    <w:rPr>
      <w:rFonts w:ascii="等线" w:eastAsia="等线" w:hAnsi="等线" w:cs="等线" w:hint="default"/>
      <w:color w:val="FF0000"/>
      <w:sz w:val="20"/>
      <w:szCs w:val="20"/>
      <w:u w:val="none"/>
    </w:rPr>
  </w:style>
  <w:style w:type="character" w:customStyle="1" w:styleId="font21">
    <w:name w:val="font21"/>
    <w:basedOn w:val="a0"/>
    <w:qFormat/>
    <w:rPr>
      <w:rFonts w:ascii="等线" w:eastAsia="等线" w:hAnsi="等线" w:cs="等线" w:hint="default"/>
      <w:color w:val="000000"/>
      <w:sz w:val="20"/>
      <w:szCs w:val="20"/>
      <w:u w:val="none"/>
    </w:rPr>
  </w:style>
  <w:style w:type="paragraph" w:customStyle="1" w:styleId="-">
    <w:name w:val="政府公文-正文"/>
    <w:basedOn w:val="a"/>
    <w:qFormat/>
    <w:pPr>
      <w:spacing w:line="560" w:lineRule="exact"/>
      <w:ind w:firstLineChars="200" w:firstLine="640"/>
    </w:pPr>
    <w:rPr>
      <w:rFonts w:ascii="仿宋_GB2312" w:eastAsia="仿宋_GB2312" w:hAnsi="Helvetica" w:cs="Helvetic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hengce.beijing.gov.cn/" TargetMode="External"/><Relationship Id="rId3" Type="http://schemas.openxmlformats.org/officeDocument/2006/relationships/settings" Target="settings.xml"/><Relationship Id="rId7" Type="http://schemas.openxmlformats.org/officeDocument/2006/relationships/hyperlink" Target="https://yzt.beijing.gov.cn/am/UI/Login?realm=/&amp;service=bjzwService&amp;goto=https://yzt.beijing.gov.cn/am/oauth2/authorize?service=bjzwService&amp;response_type=code&amp;client_id=000577441_01&amp;scope=cn+uid+idCardNumber+reserve3+extProperties+credenceClass&amp;redirect_uri=http%3A%2F%2Fwww.bjhd.gov.cn%2Fqyfw%2F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征宇 吴</cp:lastModifiedBy>
  <cp:revision>28</cp:revision>
  <cp:lastPrinted>2026-03-20T16:19:00Z</cp:lastPrinted>
  <dcterms:created xsi:type="dcterms:W3CDTF">2022-08-09T00:34:00Z</dcterms:created>
  <dcterms:modified xsi:type="dcterms:W3CDTF">2026-03-30T07:33:00Z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D9F894B13BE441399E1D80E2A82A80E0_13</vt:lpwstr>
  </property>
  <property fmtid="{D5CDD505-2E9C-101B-9397-08002B2CF9AE}" pid="4" name="KSOTemplateDocerSaveRecord">
    <vt:lpwstr>eyJoZGlkIjoiOTU0NzM1NWIwMjk5MWIyYzQyYmJlZjJiYzE5MTJkMDUiLCJ1c2VySWQiOiI3NDIyNTg5NDkifQ==</vt:lpwstr>
  </property>
</Properties>
</file>