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Tahoma" w:eastAsia="方正小标宋简体" w:cs="黑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Tahoma" w:eastAsia="方正小标宋简体" w:cs="黑体"/>
          <w:kern w:val="0"/>
          <w:sz w:val="44"/>
          <w:szCs w:val="44"/>
          <w:lang w:val="en-US" w:eastAsia="zh-CN"/>
        </w:rPr>
        <w:t>馨瑞嘉园</w:t>
      </w:r>
      <w:r>
        <w:rPr>
          <w:rFonts w:hint="eastAsia" w:ascii="方正小标宋简体" w:hAnsi="Tahoma" w:eastAsia="方正小标宋简体" w:cs="黑体"/>
          <w:kern w:val="0"/>
          <w:sz w:val="44"/>
          <w:szCs w:val="44"/>
        </w:rPr>
        <w:t>公租房项目</w:t>
      </w:r>
      <w:r>
        <w:rPr>
          <w:rFonts w:hint="eastAsia" w:ascii="方正小标宋简体" w:hAnsi="Tahoma" w:eastAsia="方正小标宋简体" w:cs="黑体"/>
          <w:kern w:val="0"/>
          <w:sz w:val="44"/>
          <w:szCs w:val="44"/>
        </w:rPr>
        <w:t>基本情况介绍</w:t>
      </w:r>
    </w:p>
    <w:p>
      <w:pPr>
        <w:spacing w:line="420" w:lineRule="exact"/>
        <w:ind w:firstLine="472" w:firstLineChars="196"/>
        <w:rPr>
          <w:rFonts w:ascii="宋体" w:hAnsi="宋体"/>
          <w:b/>
          <w:sz w:val="24"/>
          <w:szCs w:val="24"/>
        </w:rPr>
      </w:pP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一、基本信息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楼盘类型：</w:t>
      </w:r>
      <w:r>
        <w:rPr>
          <w:rFonts w:hint="eastAsia" w:ascii="宋体" w:hAnsi="宋体"/>
          <w:sz w:val="32"/>
          <w:szCs w:val="32"/>
        </w:rPr>
        <w:t>公共租赁住房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项目位置：</w:t>
      </w:r>
      <w:r>
        <w:rPr>
          <w:rFonts w:hint="eastAsia"/>
          <w:sz w:val="32"/>
          <w:szCs w:val="32"/>
        </w:rPr>
        <w:t>北京市海淀区上庄镇上庄路与沙阳路交汇处东北角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</w:rPr>
        <w:t>装修标准：</w:t>
      </w:r>
      <w:r>
        <w:rPr>
          <w:rFonts w:hint="eastAsia"/>
          <w:sz w:val="32"/>
          <w:szCs w:val="32"/>
          <w:lang w:val="en-US" w:eastAsia="zh-CN"/>
        </w:rPr>
        <w:t>住宅产业化1.0标准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租金单价</w:t>
      </w:r>
      <w:r>
        <w:rPr>
          <w:rFonts w:hint="eastAsia" w:ascii="宋体" w:hAnsi="宋体"/>
          <w:sz w:val="32"/>
          <w:szCs w:val="32"/>
        </w:rPr>
        <w:t>：公租租金</w:t>
      </w:r>
      <w:r>
        <w:rPr>
          <w:rFonts w:hint="eastAsia" w:ascii="宋体" w:hAnsi="宋体"/>
          <w:sz w:val="32"/>
          <w:szCs w:val="32"/>
          <w:lang w:val="en-US" w:eastAsia="zh-CN"/>
        </w:rPr>
        <w:t>32</w:t>
      </w:r>
      <w:r>
        <w:rPr>
          <w:rFonts w:hint="eastAsia" w:ascii="宋体" w:hAnsi="宋体"/>
          <w:sz w:val="32"/>
          <w:szCs w:val="32"/>
        </w:rPr>
        <w:t>元建筑平方米·月（不分楼层、朝向）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ascii="宋体" w:hAnsi="宋体" w:cs="仿宋_GB2312"/>
          <w:kern w:val="0"/>
          <w:sz w:val="32"/>
          <w:szCs w:val="32"/>
        </w:rPr>
      </w:pPr>
      <w:r>
        <w:rPr>
          <w:rFonts w:hint="eastAsia" w:ascii="宋体" w:hAnsi="宋体" w:cs="仿宋_GB2312"/>
          <w:b/>
          <w:kern w:val="0"/>
          <w:sz w:val="32"/>
          <w:szCs w:val="32"/>
        </w:rPr>
        <w:t>价格说明：</w:t>
      </w:r>
      <w:r>
        <w:rPr>
          <w:rFonts w:hint="eastAsia" w:ascii="宋体" w:hAnsi="宋体" w:cs="仿宋_GB2312"/>
          <w:kern w:val="0"/>
          <w:sz w:val="32"/>
          <w:szCs w:val="32"/>
        </w:rPr>
        <w:t>租金单价中包含物业费，不包含供暖费、水费、电费、燃气费、电话费、上网费、有线电视初装费及收视费等。</w:t>
      </w:r>
    </w:p>
    <w:p>
      <w:pPr>
        <w:widowControl w:val="0"/>
        <w:wordWrap/>
        <w:spacing w:line="560" w:lineRule="exact"/>
        <w:ind w:left="0" w:leftChars="0" w:right="0" w:firstLine="630" w:firstLineChars="196"/>
        <w:jc w:val="left"/>
        <w:textAlignment w:val="auto"/>
        <w:outlineLvl w:val="9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供暖方式</w:t>
      </w:r>
      <w:r>
        <w:rPr>
          <w:rFonts w:hint="eastAsia" w:ascii="宋体" w:hAnsi="宋体"/>
          <w:sz w:val="32"/>
          <w:szCs w:val="32"/>
        </w:rPr>
        <w:t>：小区集中供暖，30元</w:t>
      </w:r>
      <w:r>
        <w:rPr>
          <w:rFonts w:ascii="宋体" w:hAnsi="宋体" w:cs="仿宋_GB2312"/>
          <w:kern w:val="0"/>
          <w:sz w:val="32"/>
          <w:szCs w:val="32"/>
        </w:rPr>
        <w:t>/</w:t>
      </w:r>
      <w:r>
        <w:rPr>
          <w:rFonts w:hint="eastAsia" w:ascii="宋体" w:hAnsi="宋体" w:cs="仿宋_GB2312"/>
          <w:kern w:val="0"/>
          <w:sz w:val="32"/>
          <w:szCs w:val="32"/>
        </w:rPr>
        <w:t>建筑平方米·供暖季。</w:t>
      </w: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ascii="宋体" w:hAnsi="宋体" w:cs="仿宋_GB2312"/>
          <w:kern w:val="0"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</w:rPr>
        <w:t>房源数量</w:t>
      </w:r>
      <w:r>
        <w:rPr>
          <w:rFonts w:hint="eastAsia" w:ascii="宋体" w:hAnsi="宋体"/>
          <w:sz w:val="32"/>
          <w:szCs w:val="32"/>
        </w:rPr>
        <w:t>：</w:t>
      </w:r>
      <w:r>
        <w:rPr>
          <w:rFonts w:hint="eastAsia" w:ascii="宋体" w:hAnsi="宋体" w:cs="仿宋_GB2312"/>
          <w:kern w:val="0"/>
          <w:sz w:val="32"/>
          <w:szCs w:val="32"/>
        </w:rPr>
        <w:t>本次可配租房源共</w:t>
      </w:r>
      <w:r>
        <w:rPr>
          <w:rFonts w:hint="eastAsia" w:ascii="宋体" w:hAnsi="宋体" w:cs="仿宋_GB2312"/>
          <w:kern w:val="0"/>
          <w:sz w:val="32"/>
          <w:szCs w:val="32"/>
          <w:highlight w:val="none"/>
        </w:rPr>
        <w:t>计</w:t>
      </w:r>
      <w:r>
        <w:rPr>
          <w:rFonts w:hint="eastAsia" w:ascii="宋体" w:hAnsi="宋体" w:cs="仿宋_GB2312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宋体" w:hAnsi="宋体" w:cs="仿宋_GB2312"/>
          <w:kern w:val="0"/>
          <w:sz w:val="32"/>
          <w:szCs w:val="32"/>
          <w:highlight w:val="none"/>
        </w:rPr>
        <w:t>套，</w:t>
      </w:r>
      <w:r>
        <w:rPr>
          <w:rFonts w:hint="eastAsia" w:ascii="宋体" w:hAnsi="宋体" w:cs="仿宋_GB2312"/>
          <w:kern w:val="0"/>
          <w:sz w:val="32"/>
          <w:szCs w:val="32"/>
          <w:highlight w:val="none"/>
          <w:lang w:val="en-US" w:eastAsia="zh-CN"/>
        </w:rPr>
        <w:t>全部为</w:t>
      </w:r>
      <w:r>
        <w:rPr>
          <w:rFonts w:hint="eastAsia" w:ascii="宋体" w:hAnsi="宋体" w:cs="仿宋_GB2312"/>
          <w:kern w:val="0"/>
          <w:sz w:val="32"/>
          <w:szCs w:val="32"/>
          <w:highlight w:val="none"/>
        </w:rPr>
        <w:t>大套型。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 xml:space="preserve">户型面积： </w:t>
      </w:r>
      <w:r>
        <w:rPr>
          <w:rFonts w:hint="eastAsia" w:ascii="宋体" w:hAnsi="宋体"/>
          <w:sz w:val="32"/>
          <w:szCs w:val="32"/>
          <w:highlight w:val="none"/>
        </w:rPr>
        <w:t>大套型：</w:t>
      </w:r>
      <w:r>
        <w:rPr>
          <w:rFonts w:hint="eastAsia" w:ascii="宋体" w:hAnsi="宋体" w:cs="仿宋_GB2312"/>
          <w:kern w:val="0"/>
          <w:sz w:val="32"/>
          <w:szCs w:val="32"/>
          <w:highlight w:val="none"/>
        </w:rPr>
        <w:t>约</w:t>
      </w:r>
      <w:r>
        <w:rPr>
          <w:rFonts w:hint="eastAsia" w:ascii="宋体" w:hAnsi="宋体"/>
          <w:sz w:val="32"/>
          <w:szCs w:val="32"/>
          <w:highlight w:val="none"/>
          <w:lang w:val="en-US" w:eastAsia="zh-CN"/>
        </w:rPr>
        <w:t>63.08</w:t>
      </w:r>
      <w:r>
        <w:rPr>
          <w:rFonts w:hint="eastAsia" w:ascii="宋体" w:hAnsi="宋体"/>
          <w:sz w:val="32"/>
          <w:szCs w:val="32"/>
          <w:highlight w:val="none"/>
        </w:rPr>
        <w:t>-</w:t>
      </w:r>
      <w:r>
        <w:rPr>
          <w:rFonts w:hint="eastAsia" w:ascii="宋体" w:hAnsi="宋体"/>
          <w:sz w:val="32"/>
          <w:szCs w:val="32"/>
          <w:highlight w:val="none"/>
          <w:lang w:val="en-US" w:eastAsia="zh-CN"/>
        </w:rPr>
        <w:t>70.61</w:t>
      </w:r>
      <w:r>
        <w:rPr>
          <w:rFonts w:hint="eastAsia" w:ascii="宋体" w:hAnsi="宋体"/>
          <w:sz w:val="32"/>
          <w:szCs w:val="32"/>
          <w:highlight w:val="none"/>
        </w:rPr>
        <w:t>㎡（</w:t>
      </w:r>
      <w:r>
        <w:rPr>
          <w:rFonts w:hint="eastAsia" w:ascii="宋体" w:hAnsi="宋体"/>
          <w:sz w:val="32"/>
          <w:szCs w:val="32"/>
          <w:lang w:val="en-US" w:eastAsia="zh-CN"/>
        </w:rPr>
        <w:t>一</w:t>
      </w:r>
      <w:r>
        <w:rPr>
          <w:rFonts w:hint="eastAsia" w:ascii="宋体" w:hAnsi="宋体"/>
          <w:sz w:val="32"/>
          <w:szCs w:val="32"/>
        </w:rPr>
        <w:t>居）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二、项目配套情况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周边交通：</w:t>
      </w:r>
      <w:r>
        <w:rPr>
          <w:rFonts w:hint="eastAsia" w:ascii="宋体" w:hAnsi="宋体" w:cs="仿宋_GB2312"/>
          <w:sz w:val="32"/>
          <w:szCs w:val="32"/>
        </w:rPr>
        <w:t>该项目交通便利、配套设施齐全。项目紧邻沙阳路，距永丰地铁站9公里，512路/303路：沿上庄路向南，直达地铁4号线终点站安河桥北站、北宫门站。昌平20路/519路：沿沙阳路向东，直达城铁13号线龙泽站、回龙观站。项目向东5.8公里是地铁昌平线巩华城站，昌平线向南连接13号线西二旗站</w:t>
      </w:r>
      <w:r>
        <w:rPr>
          <w:rFonts w:hint="eastAsia" w:ascii="宋体" w:hAnsi="宋体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b/>
          <w:bCs/>
          <w:sz w:val="32"/>
          <w:szCs w:val="32"/>
        </w:rPr>
        <w:t>小区内配套：</w:t>
      </w:r>
      <w:r>
        <w:rPr>
          <w:rFonts w:hint="eastAsia" w:ascii="宋体" w:hAnsi="宋体" w:cs="仿宋_GB2312"/>
          <w:sz w:val="32"/>
          <w:szCs w:val="32"/>
        </w:rPr>
        <w:t>配套商业、警务工作站等。</w:t>
      </w:r>
    </w:p>
    <w:p>
      <w:pPr>
        <w:widowControl w:val="0"/>
        <w:wordWrap/>
        <w:spacing w:line="560" w:lineRule="exact"/>
        <w:ind w:left="0" w:leftChars="0" w:right="0" w:firstLine="630" w:firstLineChars="196"/>
        <w:textAlignment w:val="auto"/>
        <w:outlineLvl w:val="9"/>
        <w:rPr>
          <w:rFonts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b/>
          <w:bCs/>
          <w:sz w:val="32"/>
          <w:szCs w:val="32"/>
        </w:rPr>
        <w:t>周边公共设施：</w:t>
      </w:r>
    </w:p>
    <w:p>
      <w:pPr>
        <w:widowControl w:val="0"/>
        <w:wordWrap/>
        <w:spacing w:line="560" w:lineRule="exact"/>
        <w:ind w:left="0" w:leftChars="0" w:right="0" w:firstLine="627" w:firstLineChars="196"/>
        <w:textAlignment w:val="auto"/>
        <w:outlineLvl w:val="9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>教育资源：上庄中心小学、上地实验小学（上庄校区）、上庄第二中学；</w:t>
      </w:r>
    </w:p>
    <w:p>
      <w:pPr>
        <w:widowControl w:val="0"/>
        <w:wordWrap/>
        <w:spacing w:line="560" w:lineRule="exact"/>
        <w:ind w:left="0" w:leftChars="0" w:right="0" w:firstLine="627" w:firstLineChars="196"/>
        <w:textAlignment w:val="auto"/>
        <w:outlineLvl w:val="9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>休闲购物：</w:t>
      </w:r>
      <w:r>
        <w:rPr>
          <w:rFonts w:hint="eastAsia" w:ascii="宋体" w:hAnsi="宋体" w:cs="仿宋_GB2312"/>
          <w:sz w:val="32"/>
          <w:szCs w:val="32"/>
          <w:lang w:eastAsia="zh-CN"/>
        </w:rPr>
        <w:t>上亿家</w:t>
      </w:r>
      <w:r>
        <w:rPr>
          <w:rFonts w:hint="eastAsia" w:ascii="宋体" w:hAnsi="宋体" w:cs="仿宋_GB2312"/>
          <w:sz w:val="32"/>
          <w:szCs w:val="32"/>
        </w:rPr>
        <w:t>超市、世纪华联超市</w:t>
      </w:r>
    </w:p>
    <w:p>
      <w:pPr>
        <w:widowControl w:val="0"/>
        <w:wordWrap/>
        <w:spacing w:line="560" w:lineRule="exact"/>
        <w:ind w:left="0" w:leftChars="0" w:right="0" w:firstLine="627" w:firstLineChars="196"/>
        <w:textAlignment w:val="auto"/>
        <w:outlineLvl w:val="9"/>
        <w:rPr>
          <w:rFonts w:hint="eastAsia"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sz w:val="32"/>
          <w:szCs w:val="32"/>
        </w:rPr>
        <w:t>医疗保健：解放军第二六一医院（三甲）、上庄镇社区卫生服务中心。</w:t>
      </w:r>
    </w:p>
    <w:p>
      <w:pPr>
        <w:widowControl w:val="0"/>
        <w:wordWrap/>
        <w:spacing w:line="560" w:lineRule="exact"/>
        <w:ind w:left="0" w:leftChars="0" w:right="0" w:firstLine="636" w:firstLineChars="198"/>
        <w:textAlignment w:val="auto"/>
        <w:outlineLvl w:val="9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三、户型详细信息</w:t>
      </w:r>
    </w:p>
    <w:p>
      <w:pPr>
        <w:widowControl w:val="0"/>
        <w:wordWrap/>
        <w:spacing w:line="560" w:lineRule="exact"/>
        <w:ind w:left="0" w:leftChars="0" w:right="0" w:firstLine="643" w:firstLineChars="200"/>
        <w:textAlignment w:val="auto"/>
        <w:outlineLvl w:val="9"/>
        <w:rPr>
          <w:rFonts w:ascii="宋体" w:hAnsi="宋体" w:cs="仿宋_GB2312"/>
          <w:sz w:val="32"/>
          <w:szCs w:val="32"/>
        </w:rPr>
      </w:pPr>
      <w:r>
        <w:rPr>
          <w:rFonts w:hint="eastAsia" w:ascii="宋体" w:hAnsi="宋体" w:cs="仿宋_GB2312"/>
          <w:b/>
          <w:sz w:val="32"/>
          <w:szCs w:val="32"/>
        </w:rPr>
        <w:t>户型介绍：</w:t>
      </w:r>
      <w:r>
        <w:rPr>
          <w:rFonts w:hint="eastAsia" w:ascii="宋体" w:hAnsi="宋体" w:cs="仿宋_GB2312"/>
          <w:sz w:val="32"/>
          <w:szCs w:val="32"/>
        </w:rPr>
        <w:t>共计</w:t>
      </w:r>
      <w:r>
        <w:rPr>
          <w:rFonts w:hint="eastAsia" w:ascii="宋体" w:hAnsi="宋体" w:cs="仿宋_GB2312"/>
          <w:sz w:val="32"/>
          <w:szCs w:val="32"/>
          <w:lang w:val="en-US" w:eastAsia="zh-CN"/>
        </w:rPr>
        <w:t>4</w:t>
      </w:r>
      <w:r>
        <w:rPr>
          <w:rFonts w:hint="eastAsia" w:ascii="宋体" w:hAnsi="宋体" w:cs="仿宋_GB2312"/>
          <w:sz w:val="32"/>
          <w:szCs w:val="32"/>
        </w:rPr>
        <w:t>种户型</w:t>
      </w:r>
      <w:bookmarkStart w:id="0" w:name="_GoBack"/>
      <w:bookmarkEnd w:id="0"/>
    </w:p>
    <w:p>
      <w:pPr>
        <w:widowControl/>
        <w:jc w:val="left"/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i1025" o:spt="75" type="#_x0000_t75" style="height:393.6pt;width:406.95pt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tabs>
          <w:tab w:val="left" w:pos="1965"/>
        </w:tabs>
        <w:spacing w:line="560" w:lineRule="exact"/>
        <w:ind w:firstLine="2570" w:firstLineChars="800"/>
        <w:rPr>
          <w:rFonts w:ascii="仿宋_GB2312" w:hAnsi="宋体" w:eastAsia="仿宋_GB2312"/>
          <w:b/>
          <w:bCs w:val="0"/>
          <w:sz w:val="24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</w:rPr>
        <w:t>户型编号：B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b/>
          <w:bCs w:val="0"/>
          <w:sz w:val="32"/>
          <w:szCs w:val="32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</w:rPr>
        <w:t xml:space="preserve">                居室类型：一居室</w:t>
      </w:r>
    </w:p>
    <w:p>
      <w:pPr>
        <w:tabs>
          <w:tab w:val="left" w:pos="1725"/>
        </w:tabs>
        <w:spacing w:line="560" w:lineRule="exact"/>
        <w:rPr>
          <w:rFonts w:ascii="黑体" w:hAnsi="黑体" w:eastAsia="黑体"/>
          <w:b/>
          <w:bCs w:val="0"/>
          <w:sz w:val="32"/>
          <w:szCs w:val="32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</w:rPr>
        <w:t xml:space="preserve">                房屋朝向：西、南</w:t>
      </w:r>
    </w:p>
    <w:p>
      <w:pPr>
        <w:widowControl/>
        <w:jc w:val="left"/>
      </w:pPr>
    </w:p>
    <w:p>
      <w:pPr>
        <w:widowControl/>
        <w:jc w:val="left"/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/>
        </w:rPr>
      </w:pPr>
      <w: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_x0000_i1026" o:spt="75" type="#_x0000_t75" style="height:285pt;width:450.55pt;" fillcolor="#FFFFFF" filled="f" o:preferrelative="t" stroked="f" coordsize="21600,21600">
            <v:path/>
            <v:fill on="f" color2="#FFFFFF" focussize="0,0"/>
            <v:stroke on="f"/>
            <v:imagedata r:id="rId5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tabs>
          <w:tab w:val="left" w:pos="1965"/>
        </w:tabs>
        <w:spacing w:line="560" w:lineRule="exact"/>
        <w:ind w:firstLine="2570" w:firstLineChars="80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32"/>
          <w:szCs w:val="32"/>
        </w:rPr>
        <w:t>户型编号：J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居室类型：一居室</w:t>
      </w: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房屋朝向：东</w:t>
      </w: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jc w:val="center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pict>
          <v:shape id="_x0000_i1027" o:spt="75" type="#_x0000_t75" style="height:306pt;width:219pt;" fillcolor="#FFFFFF" filled="f" o:preferrelative="t" stroked="f" coordsize="21600,21600">
            <v:path/>
            <v:fill on="f" color2="#FFFFFF" focussize="0,0"/>
            <v:stroke on="f"/>
            <v:imagedata r:id="rId6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tabs>
          <w:tab w:val="left" w:pos="1965"/>
        </w:tabs>
        <w:spacing w:line="560" w:lineRule="exact"/>
        <w:ind w:firstLine="2570" w:firstLineChars="800"/>
        <w:rPr>
          <w:rFonts w:hint="eastAsia" w:ascii="仿宋_GB2312" w:hAnsi="宋体" w:eastAsia="仿宋_GB2312"/>
          <w:b/>
          <w:sz w:val="24"/>
          <w:lang w:eastAsia="zh-CN"/>
        </w:rPr>
      </w:pPr>
      <w:r>
        <w:rPr>
          <w:rFonts w:hint="eastAsia" w:ascii="仿宋_GB2312" w:hAnsi="宋体" w:eastAsia="仿宋_GB2312"/>
          <w:b/>
          <w:sz w:val="32"/>
          <w:szCs w:val="32"/>
        </w:rPr>
        <w:t>户型编号：</w:t>
      </w: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>O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居室类型：一居室</w:t>
      </w: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房屋朝向：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南北</w:t>
      </w: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4845"/>
        </w:tabs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kern w:val="2"/>
          <w:sz w:val="21"/>
          <w:szCs w:val="22"/>
          <w:lang w:val="en-US" w:eastAsia="zh-CN" w:bidi="ar-SA"/>
        </w:rPr>
        <w:pict>
          <v:shape id="_x0000_i1028" o:spt="75" type="#_x0000_t75" style="height:388.95pt;width:415.3pt;" fillcolor="#FFFFFF" filled="f" o:preferrelative="t" stroked="f" coordsize="21600,21600">
            <v:path/>
            <v:fill on="f" color2="#FFFFFF" focussize="0,0"/>
            <v:stroke on="f"/>
            <v:imagedata r:id="rId7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tabs>
          <w:tab w:val="left" w:pos="1965"/>
        </w:tabs>
        <w:spacing w:line="560" w:lineRule="exact"/>
        <w:ind w:firstLine="2570" w:firstLineChars="80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32"/>
          <w:szCs w:val="32"/>
        </w:rPr>
        <w:t>户型编号：P</w:t>
      </w:r>
    </w:p>
    <w:p>
      <w:pPr>
        <w:tabs>
          <w:tab w:val="left" w:pos="1725"/>
        </w:tabs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居室类型：一居室</w:t>
      </w:r>
    </w:p>
    <w:p>
      <w:pPr>
        <w:tabs>
          <w:tab w:val="left" w:pos="1725"/>
        </w:tabs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房屋朝向：南</w:t>
      </w:r>
    </w:p>
    <w:p>
      <w:pPr>
        <w:tabs>
          <w:tab w:val="left" w:pos="4845"/>
        </w:tabs>
        <w:rPr>
          <w:rFonts w:hint="eastAsia" w:ascii="黑体" w:hAnsi="黑体" w:eastAsia="黑体" w:cs="黑体"/>
        </w:rPr>
      </w:pPr>
    </w:p>
    <w:p>
      <w:pPr>
        <w:tabs>
          <w:tab w:val="left" w:pos="4845"/>
        </w:tabs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C5BF3"/>
    <w:rsid w:val="00025C37"/>
    <w:rsid w:val="00035389"/>
    <w:rsid w:val="000507C6"/>
    <w:rsid w:val="0007030E"/>
    <w:rsid w:val="00071670"/>
    <w:rsid w:val="00072637"/>
    <w:rsid w:val="00074DBB"/>
    <w:rsid w:val="00081798"/>
    <w:rsid w:val="00091FDF"/>
    <w:rsid w:val="0009202D"/>
    <w:rsid w:val="000A7B00"/>
    <w:rsid w:val="000C1004"/>
    <w:rsid w:val="000C689C"/>
    <w:rsid w:val="000D2388"/>
    <w:rsid w:val="000D5EDB"/>
    <w:rsid w:val="000D6CD9"/>
    <w:rsid w:val="000D7210"/>
    <w:rsid w:val="000E22E1"/>
    <w:rsid w:val="000E74A7"/>
    <w:rsid w:val="00103563"/>
    <w:rsid w:val="001035C1"/>
    <w:rsid w:val="00117B53"/>
    <w:rsid w:val="001278FB"/>
    <w:rsid w:val="00151EC9"/>
    <w:rsid w:val="00161578"/>
    <w:rsid w:val="0016283F"/>
    <w:rsid w:val="00165AD1"/>
    <w:rsid w:val="00166C0F"/>
    <w:rsid w:val="00167228"/>
    <w:rsid w:val="001915CE"/>
    <w:rsid w:val="001959A9"/>
    <w:rsid w:val="001B374A"/>
    <w:rsid w:val="001C1EF3"/>
    <w:rsid w:val="001E08D9"/>
    <w:rsid w:val="001E6A2D"/>
    <w:rsid w:val="002152BB"/>
    <w:rsid w:val="00215A6F"/>
    <w:rsid w:val="00220B38"/>
    <w:rsid w:val="00233312"/>
    <w:rsid w:val="00236E2B"/>
    <w:rsid w:val="00283454"/>
    <w:rsid w:val="002866A1"/>
    <w:rsid w:val="00294B8B"/>
    <w:rsid w:val="002A3D32"/>
    <w:rsid w:val="002B0CC4"/>
    <w:rsid w:val="002B1AA3"/>
    <w:rsid w:val="002B5FEC"/>
    <w:rsid w:val="002B6671"/>
    <w:rsid w:val="002B71FC"/>
    <w:rsid w:val="002F0D02"/>
    <w:rsid w:val="002F1D08"/>
    <w:rsid w:val="002F6E90"/>
    <w:rsid w:val="0030075E"/>
    <w:rsid w:val="00311105"/>
    <w:rsid w:val="00317EFE"/>
    <w:rsid w:val="00340429"/>
    <w:rsid w:val="00340ED7"/>
    <w:rsid w:val="00344B1D"/>
    <w:rsid w:val="00352EB3"/>
    <w:rsid w:val="00361BA0"/>
    <w:rsid w:val="003661EC"/>
    <w:rsid w:val="003746B9"/>
    <w:rsid w:val="003A3ED7"/>
    <w:rsid w:val="003B315C"/>
    <w:rsid w:val="003C450F"/>
    <w:rsid w:val="003D70DA"/>
    <w:rsid w:val="003F630F"/>
    <w:rsid w:val="0042707A"/>
    <w:rsid w:val="00440A8B"/>
    <w:rsid w:val="00454324"/>
    <w:rsid w:val="004678D4"/>
    <w:rsid w:val="00475962"/>
    <w:rsid w:val="00475B92"/>
    <w:rsid w:val="004857C3"/>
    <w:rsid w:val="004A3CE2"/>
    <w:rsid w:val="004B07C6"/>
    <w:rsid w:val="004C5BF3"/>
    <w:rsid w:val="004D210F"/>
    <w:rsid w:val="004D3190"/>
    <w:rsid w:val="004D58CF"/>
    <w:rsid w:val="004D70D8"/>
    <w:rsid w:val="004E0C37"/>
    <w:rsid w:val="004F5F4F"/>
    <w:rsid w:val="00545674"/>
    <w:rsid w:val="005564D1"/>
    <w:rsid w:val="00571992"/>
    <w:rsid w:val="00580606"/>
    <w:rsid w:val="0059335B"/>
    <w:rsid w:val="005A3D0D"/>
    <w:rsid w:val="005B4E5F"/>
    <w:rsid w:val="005B7192"/>
    <w:rsid w:val="005C5D0D"/>
    <w:rsid w:val="005E116D"/>
    <w:rsid w:val="00606C41"/>
    <w:rsid w:val="006B2990"/>
    <w:rsid w:val="006C5962"/>
    <w:rsid w:val="006D0261"/>
    <w:rsid w:val="006D4897"/>
    <w:rsid w:val="006E0272"/>
    <w:rsid w:val="006E3149"/>
    <w:rsid w:val="006E3617"/>
    <w:rsid w:val="006F2571"/>
    <w:rsid w:val="007061D0"/>
    <w:rsid w:val="00711CE2"/>
    <w:rsid w:val="007427D6"/>
    <w:rsid w:val="00756902"/>
    <w:rsid w:val="00771756"/>
    <w:rsid w:val="0077500F"/>
    <w:rsid w:val="00780BB3"/>
    <w:rsid w:val="00783791"/>
    <w:rsid w:val="00790B0B"/>
    <w:rsid w:val="007B0809"/>
    <w:rsid w:val="007D1FD0"/>
    <w:rsid w:val="007E0B32"/>
    <w:rsid w:val="007F6E76"/>
    <w:rsid w:val="007F6FA2"/>
    <w:rsid w:val="0080040C"/>
    <w:rsid w:val="0080577F"/>
    <w:rsid w:val="0083191C"/>
    <w:rsid w:val="00847646"/>
    <w:rsid w:val="0085457E"/>
    <w:rsid w:val="00854A5D"/>
    <w:rsid w:val="00870C22"/>
    <w:rsid w:val="00870E78"/>
    <w:rsid w:val="00874F83"/>
    <w:rsid w:val="008B2416"/>
    <w:rsid w:val="008B269B"/>
    <w:rsid w:val="008C31B2"/>
    <w:rsid w:val="008C36F8"/>
    <w:rsid w:val="008C4C47"/>
    <w:rsid w:val="008C71D1"/>
    <w:rsid w:val="008D6AF6"/>
    <w:rsid w:val="008F1D84"/>
    <w:rsid w:val="008F26B7"/>
    <w:rsid w:val="0090237A"/>
    <w:rsid w:val="0090447A"/>
    <w:rsid w:val="009200DB"/>
    <w:rsid w:val="00933135"/>
    <w:rsid w:val="00936B0D"/>
    <w:rsid w:val="00941A09"/>
    <w:rsid w:val="00942DAC"/>
    <w:rsid w:val="009619A5"/>
    <w:rsid w:val="0096679F"/>
    <w:rsid w:val="009771D8"/>
    <w:rsid w:val="0099190F"/>
    <w:rsid w:val="009A3F47"/>
    <w:rsid w:val="009D0F8B"/>
    <w:rsid w:val="00A1635B"/>
    <w:rsid w:val="00A16ECB"/>
    <w:rsid w:val="00A35F7A"/>
    <w:rsid w:val="00A530A4"/>
    <w:rsid w:val="00A5405F"/>
    <w:rsid w:val="00A708DC"/>
    <w:rsid w:val="00A72A11"/>
    <w:rsid w:val="00AA00FD"/>
    <w:rsid w:val="00AD6F61"/>
    <w:rsid w:val="00AE14E6"/>
    <w:rsid w:val="00AE6572"/>
    <w:rsid w:val="00B1184D"/>
    <w:rsid w:val="00B241EC"/>
    <w:rsid w:val="00B662D6"/>
    <w:rsid w:val="00B76D22"/>
    <w:rsid w:val="00B90656"/>
    <w:rsid w:val="00BC611F"/>
    <w:rsid w:val="00BD0ED0"/>
    <w:rsid w:val="00BD17D5"/>
    <w:rsid w:val="00BE6A07"/>
    <w:rsid w:val="00C001B8"/>
    <w:rsid w:val="00C234CF"/>
    <w:rsid w:val="00C25355"/>
    <w:rsid w:val="00C4289E"/>
    <w:rsid w:val="00C55E3D"/>
    <w:rsid w:val="00C62617"/>
    <w:rsid w:val="00C729C3"/>
    <w:rsid w:val="00C80929"/>
    <w:rsid w:val="00C80DEC"/>
    <w:rsid w:val="00C97F1E"/>
    <w:rsid w:val="00CA72C5"/>
    <w:rsid w:val="00CB2D9C"/>
    <w:rsid w:val="00CB5916"/>
    <w:rsid w:val="00CC7B2F"/>
    <w:rsid w:val="00CD2399"/>
    <w:rsid w:val="00CF1FF9"/>
    <w:rsid w:val="00CF20C3"/>
    <w:rsid w:val="00CF2967"/>
    <w:rsid w:val="00CF5B2A"/>
    <w:rsid w:val="00D205CD"/>
    <w:rsid w:val="00D2619F"/>
    <w:rsid w:val="00D55CF3"/>
    <w:rsid w:val="00D71183"/>
    <w:rsid w:val="00D81D0C"/>
    <w:rsid w:val="00D83A78"/>
    <w:rsid w:val="00DB13D0"/>
    <w:rsid w:val="00DC37ED"/>
    <w:rsid w:val="00DD3E96"/>
    <w:rsid w:val="00DE6C25"/>
    <w:rsid w:val="00DE6C73"/>
    <w:rsid w:val="00E1694C"/>
    <w:rsid w:val="00E37694"/>
    <w:rsid w:val="00E45E9E"/>
    <w:rsid w:val="00E47A02"/>
    <w:rsid w:val="00E51318"/>
    <w:rsid w:val="00E534FC"/>
    <w:rsid w:val="00E55A68"/>
    <w:rsid w:val="00E6355E"/>
    <w:rsid w:val="00E641FF"/>
    <w:rsid w:val="00E75592"/>
    <w:rsid w:val="00E935EF"/>
    <w:rsid w:val="00E96F49"/>
    <w:rsid w:val="00EA1E18"/>
    <w:rsid w:val="00EB248B"/>
    <w:rsid w:val="00EB3D4A"/>
    <w:rsid w:val="00EB6F99"/>
    <w:rsid w:val="00EC2A14"/>
    <w:rsid w:val="00ED152B"/>
    <w:rsid w:val="00ED212D"/>
    <w:rsid w:val="00ED7EE9"/>
    <w:rsid w:val="00F03CBC"/>
    <w:rsid w:val="00F04125"/>
    <w:rsid w:val="00F07CB5"/>
    <w:rsid w:val="00F30487"/>
    <w:rsid w:val="00F35067"/>
    <w:rsid w:val="00F35AFE"/>
    <w:rsid w:val="00F43FDF"/>
    <w:rsid w:val="00F45701"/>
    <w:rsid w:val="00F75B0F"/>
    <w:rsid w:val="00F834EB"/>
    <w:rsid w:val="00F918B9"/>
    <w:rsid w:val="00F91E86"/>
    <w:rsid w:val="00FA6FAD"/>
    <w:rsid w:val="00FC0739"/>
    <w:rsid w:val="00FC1A12"/>
    <w:rsid w:val="00FC7BAB"/>
    <w:rsid w:val="00FF4352"/>
    <w:rsid w:val="07530EF1"/>
    <w:rsid w:val="08F56B8D"/>
    <w:rsid w:val="0AF535A4"/>
    <w:rsid w:val="13536E6B"/>
    <w:rsid w:val="13E81022"/>
    <w:rsid w:val="1C872C3C"/>
    <w:rsid w:val="1DCA26DF"/>
    <w:rsid w:val="2224724D"/>
    <w:rsid w:val="243D5065"/>
    <w:rsid w:val="29B5025A"/>
    <w:rsid w:val="2CF06F21"/>
    <w:rsid w:val="2E21589B"/>
    <w:rsid w:val="2EAA5313"/>
    <w:rsid w:val="329A2F97"/>
    <w:rsid w:val="32B55104"/>
    <w:rsid w:val="33FD21BF"/>
    <w:rsid w:val="37574F38"/>
    <w:rsid w:val="38B37CB7"/>
    <w:rsid w:val="47DD1ADE"/>
    <w:rsid w:val="56BF2CD3"/>
    <w:rsid w:val="574B4841"/>
    <w:rsid w:val="591B6191"/>
    <w:rsid w:val="5C366429"/>
    <w:rsid w:val="5DCA36FA"/>
    <w:rsid w:val="5F2C726A"/>
    <w:rsid w:val="655A1FE2"/>
    <w:rsid w:val="663C6D6F"/>
    <w:rsid w:val="674140DF"/>
    <w:rsid w:val="695663EB"/>
    <w:rsid w:val="69806C06"/>
    <w:rsid w:val="6B355BD5"/>
    <w:rsid w:val="71C209BE"/>
    <w:rsid w:val="75D455A7"/>
    <w:rsid w:val="76107B6C"/>
    <w:rsid w:val="79B657B0"/>
    <w:rsid w:val="7A6246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164</Words>
  <Characters>940</Characters>
  <Lines>7</Lines>
  <Paragraphs>2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2016-11-02T08:18:00Z</dcterms:created>
  <dc:creator>zs</dc:creator>
  <cp:lastModifiedBy>侯磊</cp:lastModifiedBy>
  <cp:lastPrinted>2016-10-26T09:42:00Z</cp:lastPrinted>
  <dcterms:modified xsi:type="dcterms:W3CDTF">2023-04-10T21:56:19Z</dcterms:modified>
  <dc:title>燕保·辛店家园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