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F7" w:rsidRDefault="00C83EF7" w:rsidP="00F82929">
      <w:pPr>
        <w:jc w:val="center"/>
        <w:rPr>
          <w:rFonts w:ascii="微软雅黑" w:eastAsia="微软雅黑" w:hAnsi="微软雅黑" w:hint="eastAsia"/>
          <w:b/>
          <w:sz w:val="32"/>
          <w:szCs w:val="32"/>
        </w:rPr>
      </w:pPr>
      <w:r>
        <w:rPr>
          <w:rFonts w:ascii="微软雅黑" w:eastAsia="微软雅黑" w:hAnsi="微软雅黑" w:hint="eastAsia"/>
          <w:b/>
          <w:sz w:val="32"/>
          <w:szCs w:val="32"/>
        </w:rPr>
        <w:t>北京市海淀区圆明园管理处</w:t>
      </w:r>
    </w:p>
    <w:p w:rsidR="00C83EF7" w:rsidRDefault="00C83EF7" w:rsidP="00F82929">
      <w:pPr>
        <w:jc w:val="center"/>
        <w:rPr>
          <w:rFonts w:ascii="微软雅黑" w:eastAsia="微软雅黑" w:hAnsi="微软雅黑" w:hint="eastAsia"/>
          <w:b/>
          <w:sz w:val="32"/>
          <w:szCs w:val="32"/>
        </w:rPr>
      </w:pPr>
      <w:r w:rsidRPr="00C83EF7">
        <w:rPr>
          <w:rFonts w:ascii="微软雅黑" w:eastAsia="微软雅黑" w:hAnsi="微软雅黑" w:hint="eastAsia"/>
          <w:b/>
          <w:sz w:val="32"/>
          <w:szCs w:val="32"/>
        </w:rPr>
        <w:t>圆明园湖面补水及水环境保护专项</w:t>
      </w:r>
      <w:r w:rsidR="00315FF1" w:rsidRPr="00F82929">
        <w:rPr>
          <w:rFonts w:ascii="微软雅黑" w:eastAsia="微软雅黑" w:hAnsi="微软雅黑" w:hint="eastAsia"/>
          <w:b/>
          <w:sz w:val="32"/>
          <w:szCs w:val="32"/>
        </w:rPr>
        <w:t>项目</w:t>
      </w:r>
    </w:p>
    <w:p w:rsidR="00692E69" w:rsidRPr="00F82929" w:rsidRDefault="00315FF1" w:rsidP="00F82929">
      <w:pPr>
        <w:jc w:val="center"/>
        <w:rPr>
          <w:rFonts w:ascii="微软雅黑" w:eastAsia="微软雅黑" w:hAnsi="微软雅黑" w:hint="eastAsia"/>
          <w:b/>
          <w:sz w:val="32"/>
          <w:szCs w:val="32"/>
        </w:rPr>
      </w:pPr>
      <w:r w:rsidRPr="00F82929">
        <w:rPr>
          <w:rFonts w:ascii="微软雅黑" w:eastAsia="微软雅黑" w:hAnsi="微软雅黑" w:hint="eastAsia"/>
          <w:b/>
          <w:sz w:val="32"/>
          <w:szCs w:val="32"/>
        </w:rPr>
        <w:t>绩效</w:t>
      </w:r>
      <w:r w:rsidR="00B771E5">
        <w:rPr>
          <w:rFonts w:ascii="微软雅黑" w:eastAsia="微软雅黑" w:hAnsi="微软雅黑" w:hint="eastAsia"/>
          <w:b/>
          <w:sz w:val="32"/>
          <w:szCs w:val="32"/>
        </w:rPr>
        <w:t>自评</w:t>
      </w:r>
      <w:r w:rsidRPr="00F82929">
        <w:rPr>
          <w:rFonts w:ascii="微软雅黑" w:eastAsia="微软雅黑" w:hAnsi="微软雅黑" w:hint="eastAsia"/>
          <w:b/>
          <w:sz w:val="32"/>
          <w:szCs w:val="32"/>
        </w:rPr>
        <w:t>报告</w:t>
      </w:r>
    </w:p>
    <w:p w:rsidR="00315FF1" w:rsidRPr="001F551E" w:rsidRDefault="00054FAD" w:rsidP="007139A2">
      <w:pPr>
        <w:numPr>
          <w:ilvl w:val="0"/>
          <w:numId w:val="3"/>
        </w:numPr>
        <w:ind w:left="0" w:firstLineChars="200" w:firstLine="560"/>
        <w:jc w:val="left"/>
        <w:rPr>
          <w:rFonts w:ascii="宋体" w:hAnsi="宋体" w:hint="eastAsia"/>
          <w:sz w:val="28"/>
          <w:szCs w:val="28"/>
        </w:rPr>
      </w:pPr>
      <w:r w:rsidRPr="001F551E">
        <w:rPr>
          <w:rFonts w:ascii="宋体" w:hAnsi="宋体" w:hint="eastAsia"/>
          <w:sz w:val="28"/>
          <w:szCs w:val="28"/>
        </w:rPr>
        <w:t>项目</w:t>
      </w:r>
      <w:r w:rsidR="00315FF1" w:rsidRPr="001F551E">
        <w:rPr>
          <w:rFonts w:ascii="宋体" w:hAnsi="宋体" w:hint="eastAsia"/>
          <w:sz w:val="28"/>
          <w:szCs w:val="28"/>
        </w:rPr>
        <w:t>情况</w:t>
      </w:r>
    </w:p>
    <w:p w:rsidR="006D7C07" w:rsidRPr="001F551E" w:rsidRDefault="006D7C07" w:rsidP="006D7C07">
      <w:pPr>
        <w:pStyle w:val="a5"/>
        <w:ind w:firstLine="560"/>
        <w:rPr>
          <w:rFonts w:ascii="宋体" w:hAnsi="宋体"/>
          <w:sz w:val="28"/>
          <w:szCs w:val="28"/>
        </w:rPr>
      </w:pPr>
      <w:r w:rsidRPr="001F551E">
        <w:rPr>
          <w:rFonts w:ascii="宋体" w:hAnsi="宋体" w:hint="eastAsia"/>
          <w:sz w:val="28"/>
          <w:szCs w:val="28"/>
        </w:rPr>
        <w:t>圆明园遗址公园坐落在北京西郊海淀，是全国爱国主义教育基</w:t>
      </w:r>
      <w:r w:rsidR="009D09D3" w:rsidRPr="001F551E">
        <w:rPr>
          <w:rFonts w:ascii="宋体" w:hAnsi="宋体" w:hint="eastAsia"/>
          <w:sz w:val="28"/>
          <w:szCs w:val="28"/>
        </w:rPr>
        <w:t>地</w:t>
      </w:r>
      <w:r w:rsidRPr="001F551E">
        <w:rPr>
          <w:rFonts w:ascii="宋体" w:hAnsi="宋体" w:hint="eastAsia"/>
          <w:sz w:val="28"/>
          <w:szCs w:val="28"/>
        </w:rPr>
        <w:t>、国家文物重点保护单位、国家考古遗址公园，并于2010年，被评为“北京新十六景”之一。它始建于康熙46年（1707年），由圆明、长春、绮春三园组成，占地350公顷，园内河湖相连，形成一个完整的河湖湿地生态系统。自上个世纪80年代以来，圆明园处于严重缺水状态，水源基本枯竭。2007年起，圆明园使用再生水作为补给水源，有效的解决了圆明园的用水需求。圆明园除了补充河湖水量外，为了保障水质及生态景观的可持续性，每年还要投入资金用于再生水治理、水体保洁、水生植物养护等。本项目正是在上述背景下提出来的，项目主要内容是圆明园湖面补水</w:t>
      </w:r>
      <w:r w:rsidR="00BF2DAA" w:rsidRPr="001F551E">
        <w:rPr>
          <w:rFonts w:ascii="宋体" w:hAnsi="宋体" w:hint="eastAsia"/>
          <w:sz w:val="28"/>
          <w:szCs w:val="28"/>
        </w:rPr>
        <w:t>和水体保洁维护管理</w:t>
      </w:r>
      <w:r w:rsidRPr="001F551E">
        <w:rPr>
          <w:rFonts w:ascii="宋体" w:hAnsi="宋体" w:hint="eastAsia"/>
          <w:sz w:val="28"/>
          <w:szCs w:val="28"/>
        </w:rPr>
        <w:t>，以保证圆明园景观的可持续发展。</w:t>
      </w:r>
    </w:p>
    <w:p w:rsidR="006D7C07" w:rsidRPr="001F551E" w:rsidRDefault="006D7C07" w:rsidP="006D7C07">
      <w:pPr>
        <w:pStyle w:val="a5"/>
        <w:ind w:firstLine="560"/>
        <w:rPr>
          <w:rFonts w:ascii="宋体" w:hAnsi="宋体"/>
          <w:sz w:val="28"/>
          <w:szCs w:val="28"/>
        </w:rPr>
      </w:pPr>
      <w:r w:rsidRPr="001F551E">
        <w:rPr>
          <w:rFonts w:ascii="宋体" w:hAnsi="宋体" w:hint="eastAsia"/>
          <w:sz w:val="28"/>
          <w:szCs w:val="28"/>
        </w:rPr>
        <w:t>该项目实施主体是北京市海淀区圆明园管理处。2019湖面补水及水环境保护专项项目取得海淀区财政局的批复项目资金为</w:t>
      </w:r>
      <w:r w:rsidR="0071219F" w:rsidRPr="001F551E">
        <w:rPr>
          <w:rFonts w:ascii="宋体" w:hAnsi="宋体" w:hint="eastAsia"/>
          <w:sz w:val="28"/>
          <w:szCs w:val="28"/>
        </w:rPr>
        <w:t>1254.72</w:t>
      </w:r>
      <w:r w:rsidRPr="001F551E">
        <w:rPr>
          <w:rFonts w:ascii="宋体" w:hAnsi="宋体" w:hint="eastAsia"/>
          <w:sz w:val="28"/>
          <w:szCs w:val="28"/>
        </w:rPr>
        <w:t>万元，实际支出</w:t>
      </w:r>
      <w:r w:rsidR="0071219F" w:rsidRPr="001F551E">
        <w:rPr>
          <w:rFonts w:ascii="宋体" w:hAnsi="宋体" w:hint="eastAsia"/>
          <w:sz w:val="28"/>
          <w:szCs w:val="28"/>
        </w:rPr>
        <w:t>1072.84万元</w:t>
      </w:r>
      <w:r w:rsidRPr="001F551E">
        <w:rPr>
          <w:rFonts w:ascii="宋体" w:hAnsi="宋体" w:hint="eastAsia"/>
          <w:sz w:val="28"/>
          <w:szCs w:val="28"/>
        </w:rPr>
        <w:t>。主要包括圆明园湖面补水、</w:t>
      </w:r>
      <w:r w:rsidR="00B002CD" w:rsidRPr="001F551E">
        <w:rPr>
          <w:rFonts w:ascii="宋体" w:hAnsi="宋体" w:hint="eastAsia"/>
          <w:sz w:val="28"/>
          <w:szCs w:val="28"/>
        </w:rPr>
        <w:t>水体保洁维护管理</w:t>
      </w:r>
      <w:r w:rsidRPr="001F551E">
        <w:rPr>
          <w:rFonts w:ascii="宋体" w:hAnsi="宋体" w:hint="eastAsia"/>
          <w:sz w:val="28"/>
          <w:szCs w:val="28"/>
        </w:rPr>
        <w:t>两项</w:t>
      </w:r>
      <w:r w:rsidR="0071219F" w:rsidRPr="001F551E">
        <w:rPr>
          <w:rFonts w:ascii="宋体" w:hAnsi="宋体" w:hint="eastAsia"/>
          <w:sz w:val="28"/>
          <w:szCs w:val="28"/>
        </w:rPr>
        <w:t>内容</w:t>
      </w:r>
      <w:r w:rsidRPr="001F551E">
        <w:rPr>
          <w:rFonts w:ascii="宋体" w:hAnsi="宋体" w:hint="eastAsia"/>
          <w:sz w:val="28"/>
          <w:szCs w:val="28"/>
        </w:rPr>
        <w:t>。</w:t>
      </w:r>
    </w:p>
    <w:p w:rsidR="00E37120" w:rsidRPr="001F551E" w:rsidRDefault="00E37120" w:rsidP="00E37120">
      <w:pPr>
        <w:ind w:left="560"/>
        <w:jc w:val="left"/>
        <w:rPr>
          <w:rFonts w:ascii="宋体" w:hAnsi="宋体" w:hint="eastAsia"/>
          <w:sz w:val="28"/>
          <w:szCs w:val="28"/>
        </w:rPr>
      </w:pPr>
    </w:p>
    <w:p w:rsidR="007139A2" w:rsidRPr="001F551E" w:rsidRDefault="00E37120" w:rsidP="007139A2">
      <w:pPr>
        <w:numPr>
          <w:ilvl w:val="0"/>
          <w:numId w:val="3"/>
        </w:numPr>
        <w:ind w:left="0" w:firstLineChars="200" w:firstLine="560"/>
        <w:jc w:val="left"/>
        <w:rPr>
          <w:rFonts w:ascii="宋体" w:hAnsi="宋体" w:hint="eastAsia"/>
          <w:sz w:val="28"/>
          <w:szCs w:val="28"/>
        </w:rPr>
      </w:pPr>
      <w:r w:rsidRPr="001F551E">
        <w:rPr>
          <w:rFonts w:ascii="宋体" w:hAnsi="宋体" w:hint="eastAsia"/>
          <w:sz w:val="28"/>
          <w:szCs w:val="28"/>
        </w:rPr>
        <w:t>评价结论</w:t>
      </w:r>
    </w:p>
    <w:p w:rsidR="00E37120" w:rsidRPr="001F551E" w:rsidRDefault="00E37120" w:rsidP="00E37120">
      <w:pPr>
        <w:pStyle w:val="a5"/>
        <w:ind w:firstLine="560"/>
        <w:rPr>
          <w:rFonts w:ascii="宋体" w:hAnsi="宋体" w:hint="eastAsia"/>
          <w:sz w:val="28"/>
          <w:szCs w:val="28"/>
        </w:rPr>
      </w:pPr>
      <w:r w:rsidRPr="001F551E">
        <w:rPr>
          <w:rFonts w:ascii="宋体" w:hAnsi="宋体"/>
          <w:sz w:val="28"/>
          <w:szCs w:val="28"/>
        </w:rPr>
        <w:t>该项目综合评价得分</w:t>
      </w:r>
      <w:r w:rsidR="006D7C07" w:rsidRPr="001F551E">
        <w:rPr>
          <w:rFonts w:ascii="宋体" w:hAnsi="宋体" w:hint="eastAsia"/>
          <w:sz w:val="28"/>
          <w:szCs w:val="28"/>
        </w:rPr>
        <w:t>96</w:t>
      </w:r>
      <w:r w:rsidRPr="001F551E">
        <w:rPr>
          <w:rFonts w:ascii="宋体" w:hAnsi="宋体"/>
          <w:sz w:val="28"/>
          <w:szCs w:val="28"/>
        </w:rPr>
        <w:t>分，其中项目决策</w:t>
      </w:r>
      <w:r w:rsidR="006D7C07" w:rsidRPr="001F551E">
        <w:rPr>
          <w:rFonts w:ascii="宋体" w:hAnsi="宋体" w:hint="eastAsia"/>
          <w:sz w:val="28"/>
          <w:szCs w:val="28"/>
        </w:rPr>
        <w:t>14</w:t>
      </w:r>
      <w:r w:rsidRPr="001F551E">
        <w:rPr>
          <w:rFonts w:ascii="宋体" w:hAnsi="宋体"/>
          <w:sz w:val="28"/>
          <w:szCs w:val="28"/>
        </w:rPr>
        <w:t>分，项目管理</w:t>
      </w:r>
      <w:r w:rsidR="006D7C07" w:rsidRPr="001F551E">
        <w:rPr>
          <w:rFonts w:ascii="宋体" w:hAnsi="宋体" w:hint="eastAsia"/>
          <w:sz w:val="28"/>
          <w:szCs w:val="28"/>
        </w:rPr>
        <w:t>28</w:t>
      </w:r>
      <w:r w:rsidRPr="001F551E">
        <w:rPr>
          <w:rFonts w:ascii="宋体" w:hAnsi="宋体"/>
          <w:sz w:val="28"/>
          <w:szCs w:val="28"/>
        </w:rPr>
        <w:lastRenderedPageBreak/>
        <w:t>分，项目绩效</w:t>
      </w:r>
      <w:r w:rsidR="006D7C07" w:rsidRPr="001F551E">
        <w:rPr>
          <w:rFonts w:ascii="宋体" w:hAnsi="宋体" w:hint="eastAsia"/>
          <w:sz w:val="28"/>
          <w:szCs w:val="28"/>
        </w:rPr>
        <w:t>54</w:t>
      </w:r>
      <w:r w:rsidRPr="001F551E">
        <w:rPr>
          <w:rFonts w:ascii="宋体" w:hAnsi="宋体"/>
          <w:sz w:val="28"/>
          <w:szCs w:val="28"/>
        </w:rPr>
        <w:t>分，绩效级别评定为"</w:t>
      </w:r>
      <w:r w:rsidR="006D7C07" w:rsidRPr="001F551E">
        <w:rPr>
          <w:rFonts w:ascii="宋体" w:hAnsi="宋体" w:hint="eastAsia"/>
          <w:sz w:val="28"/>
          <w:szCs w:val="28"/>
        </w:rPr>
        <w:t>优秀</w:t>
      </w:r>
      <w:r w:rsidRPr="001F551E">
        <w:rPr>
          <w:rFonts w:ascii="宋体" w:hAnsi="宋体"/>
          <w:sz w:val="28"/>
          <w:szCs w:val="28"/>
        </w:rPr>
        <w:t>"。</w:t>
      </w:r>
    </w:p>
    <w:p w:rsidR="006D7C07" w:rsidRPr="001F551E" w:rsidRDefault="006D7C07" w:rsidP="00E37120">
      <w:pPr>
        <w:pStyle w:val="a5"/>
        <w:ind w:firstLine="560"/>
        <w:rPr>
          <w:rFonts w:ascii="宋体" w:hAnsi="宋体" w:hint="eastAsia"/>
          <w:sz w:val="28"/>
          <w:szCs w:val="28"/>
        </w:rPr>
      </w:pPr>
    </w:p>
    <w:p w:rsidR="00E37120" w:rsidRPr="001F551E" w:rsidRDefault="00E37120" w:rsidP="007139A2">
      <w:pPr>
        <w:numPr>
          <w:ilvl w:val="0"/>
          <w:numId w:val="3"/>
        </w:numPr>
        <w:ind w:left="0" w:firstLineChars="200" w:firstLine="560"/>
        <w:jc w:val="left"/>
        <w:rPr>
          <w:rFonts w:ascii="宋体" w:hAnsi="宋体" w:hint="eastAsia"/>
          <w:sz w:val="28"/>
          <w:szCs w:val="28"/>
        </w:rPr>
      </w:pPr>
      <w:r w:rsidRPr="001F551E">
        <w:rPr>
          <w:rFonts w:ascii="宋体" w:hAnsi="宋体" w:hint="eastAsia"/>
          <w:sz w:val="28"/>
          <w:szCs w:val="28"/>
        </w:rPr>
        <w:t>主要经验或存在问题</w:t>
      </w:r>
    </w:p>
    <w:p w:rsidR="00E22641" w:rsidRPr="001F551E" w:rsidRDefault="00E22641" w:rsidP="00E22641">
      <w:pPr>
        <w:pStyle w:val="a5"/>
        <w:ind w:firstLine="560"/>
        <w:rPr>
          <w:rFonts w:ascii="宋体" w:hAnsi="宋体" w:hint="eastAsia"/>
          <w:sz w:val="28"/>
          <w:szCs w:val="28"/>
        </w:rPr>
      </w:pPr>
      <w:r w:rsidRPr="001F551E">
        <w:rPr>
          <w:rFonts w:ascii="宋体" w:hAnsi="宋体" w:hint="eastAsia"/>
          <w:sz w:val="28"/>
          <w:szCs w:val="28"/>
        </w:rPr>
        <w:t>1、加强对专项资金的使用管理。</w:t>
      </w:r>
    </w:p>
    <w:p w:rsidR="00E22641" w:rsidRPr="001F551E" w:rsidRDefault="00E22641" w:rsidP="00E22641">
      <w:pPr>
        <w:pStyle w:val="a5"/>
        <w:ind w:firstLine="560"/>
        <w:rPr>
          <w:rFonts w:ascii="宋体" w:hAnsi="宋体"/>
          <w:sz w:val="28"/>
          <w:szCs w:val="28"/>
        </w:rPr>
      </w:pPr>
      <w:r w:rsidRPr="001F551E">
        <w:rPr>
          <w:rFonts w:ascii="宋体" w:hAnsi="宋体" w:hint="eastAsia"/>
          <w:sz w:val="28"/>
          <w:szCs w:val="28"/>
        </w:rPr>
        <w:t>2、加强项目内控管理及对中标单位的管理。</w:t>
      </w:r>
    </w:p>
    <w:p w:rsidR="00E37120" w:rsidRPr="001F551E" w:rsidRDefault="00E37120" w:rsidP="00E37120">
      <w:pPr>
        <w:pStyle w:val="a5"/>
        <w:ind w:firstLine="560"/>
        <w:rPr>
          <w:rFonts w:ascii="宋体" w:hAnsi="宋体" w:hint="eastAsia"/>
          <w:sz w:val="28"/>
          <w:szCs w:val="28"/>
        </w:rPr>
      </w:pPr>
    </w:p>
    <w:p w:rsidR="00E37120" w:rsidRPr="001F551E" w:rsidRDefault="00E37120" w:rsidP="007139A2">
      <w:pPr>
        <w:numPr>
          <w:ilvl w:val="0"/>
          <w:numId w:val="3"/>
        </w:numPr>
        <w:ind w:left="0" w:firstLineChars="200" w:firstLine="560"/>
        <w:jc w:val="left"/>
        <w:rPr>
          <w:rFonts w:ascii="宋体" w:hAnsi="宋体" w:hint="eastAsia"/>
          <w:sz w:val="28"/>
          <w:szCs w:val="28"/>
        </w:rPr>
      </w:pPr>
      <w:r w:rsidRPr="001F551E">
        <w:rPr>
          <w:rFonts w:ascii="宋体" w:hAnsi="宋体" w:hint="eastAsia"/>
          <w:sz w:val="28"/>
          <w:szCs w:val="28"/>
        </w:rPr>
        <w:t>下一步措施或建议</w:t>
      </w:r>
    </w:p>
    <w:p w:rsidR="00E22641" w:rsidRPr="001F551E" w:rsidRDefault="00E22641" w:rsidP="00E22641">
      <w:pPr>
        <w:pStyle w:val="a5"/>
        <w:ind w:firstLine="560"/>
        <w:rPr>
          <w:rFonts w:ascii="宋体" w:hAnsi="宋体"/>
          <w:sz w:val="28"/>
          <w:szCs w:val="28"/>
        </w:rPr>
      </w:pPr>
      <w:r w:rsidRPr="001F551E">
        <w:rPr>
          <w:rFonts w:ascii="宋体" w:hAnsi="宋体" w:hint="eastAsia"/>
          <w:sz w:val="28"/>
          <w:szCs w:val="28"/>
        </w:rPr>
        <w:t>圆明园湖面补水及水环境保护专项项目属于常规性项目，圆明园管理处将进一步做好资金的使用与管理工作，将财政资金的使用落到实处，发挥最大效应，不断提高圆明园湖面补水及水环境保护工作的水平，继续推进全园的水生态治理和保护，为圆明园遗址公园营造更优美的生态环境。</w:t>
      </w:r>
    </w:p>
    <w:p w:rsidR="00315FF1" w:rsidRPr="00E22641" w:rsidRDefault="00315FF1" w:rsidP="004F46B4">
      <w:pPr>
        <w:ind w:left="560"/>
        <w:jc w:val="left"/>
        <w:rPr>
          <w:rFonts w:ascii="微软雅黑" w:eastAsia="微软雅黑" w:hAnsi="微软雅黑" w:hint="eastAsia"/>
          <w:sz w:val="28"/>
          <w:szCs w:val="28"/>
        </w:rPr>
      </w:pPr>
    </w:p>
    <w:p w:rsidR="00104715" w:rsidRDefault="00104715" w:rsidP="0012574A">
      <w:pPr>
        <w:ind w:firstLineChars="200" w:firstLine="420"/>
        <w:jc w:val="left"/>
        <w:rPr>
          <w:rFonts w:ascii="微软雅黑" w:eastAsia="微软雅黑" w:hAnsi="微软雅黑" w:hint="eastAsia"/>
          <w:szCs w:val="21"/>
        </w:rPr>
      </w:pPr>
    </w:p>
    <w:p w:rsidR="00104715" w:rsidRDefault="00104715" w:rsidP="0012574A">
      <w:pPr>
        <w:ind w:firstLineChars="200" w:firstLine="420"/>
        <w:jc w:val="left"/>
        <w:rPr>
          <w:rFonts w:ascii="微软雅黑" w:eastAsia="微软雅黑" w:hAnsi="微软雅黑" w:hint="eastAsia"/>
          <w:szCs w:val="21"/>
        </w:rPr>
      </w:pPr>
    </w:p>
    <w:p w:rsidR="00C83EF7" w:rsidRDefault="00C83EF7" w:rsidP="0012574A">
      <w:pPr>
        <w:ind w:firstLineChars="200" w:firstLine="420"/>
        <w:jc w:val="left"/>
        <w:rPr>
          <w:rFonts w:ascii="微软雅黑" w:eastAsia="微软雅黑" w:hAnsi="微软雅黑" w:hint="eastAsia"/>
          <w:szCs w:val="21"/>
        </w:rPr>
      </w:pPr>
    </w:p>
    <w:p w:rsidR="00C83EF7" w:rsidRDefault="00C83EF7" w:rsidP="0012574A">
      <w:pPr>
        <w:ind w:firstLineChars="200" w:firstLine="420"/>
        <w:jc w:val="left"/>
        <w:rPr>
          <w:rFonts w:ascii="微软雅黑" w:eastAsia="微软雅黑" w:hAnsi="微软雅黑" w:hint="eastAsia"/>
          <w:szCs w:val="21"/>
        </w:rPr>
      </w:pPr>
    </w:p>
    <w:p w:rsidR="00C83EF7" w:rsidRDefault="00C83EF7" w:rsidP="0012574A">
      <w:pPr>
        <w:ind w:firstLineChars="200" w:firstLine="420"/>
        <w:jc w:val="left"/>
        <w:rPr>
          <w:rFonts w:ascii="微软雅黑" w:eastAsia="微软雅黑" w:hAnsi="微软雅黑" w:hint="eastAsia"/>
          <w:szCs w:val="21"/>
        </w:rPr>
      </w:pPr>
    </w:p>
    <w:p w:rsidR="00C83EF7" w:rsidRDefault="00C83EF7" w:rsidP="0012574A">
      <w:pPr>
        <w:ind w:firstLineChars="200" w:firstLine="420"/>
        <w:jc w:val="left"/>
        <w:rPr>
          <w:rFonts w:ascii="微软雅黑" w:eastAsia="微软雅黑" w:hAnsi="微软雅黑" w:hint="eastAsia"/>
          <w:szCs w:val="21"/>
        </w:rPr>
      </w:pPr>
    </w:p>
    <w:p w:rsidR="00104715" w:rsidRDefault="00104715" w:rsidP="0012574A">
      <w:pPr>
        <w:ind w:firstLineChars="200" w:firstLine="420"/>
        <w:jc w:val="left"/>
        <w:rPr>
          <w:rFonts w:ascii="微软雅黑" w:eastAsia="微软雅黑" w:hAnsi="微软雅黑" w:hint="eastAsia"/>
          <w:szCs w:val="21"/>
        </w:rPr>
      </w:pPr>
    </w:p>
    <w:p w:rsidR="0012574A" w:rsidRPr="0012574A" w:rsidRDefault="0012574A" w:rsidP="005F52E1">
      <w:pPr>
        <w:jc w:val="left"/>
        <w:rPr>
          <w:rFonts w:ascii="微软雅黑" w:eastAsia="微软雅黑" w:hAnsi="微软雅黑" w:hint="eastAsia"/>
          <w:szCs w:val="21"/>
        </w:rPr>
      </w:pPr>
      <w:r w:rsidRPr="0012574A">
        <w:rPr>
          <w:rFonts w:ascii="微软雅黑" w:eastAsia="微软雅黑" w:hAnsi="微软雅黑" w:hint="eastAsia"/>
          <w:szCs w:val="21"/>
        </w:rPr>
        <w:t>注</w:t>
      </w:r>
      <w:r w:rsidRPr="0012574A">
        <w:rPr>
          <w:rFonts w:ascii="微软雅黑" w:eastAsia="微软雅黑" w:hAnsi="微软雅黑"/>
          <w:szCs w:val="21"/>
        </w:rPr>
        <w:t>：</w:t>
      </w:r>
      <w:r w:rsidRPr="0012574A">
        <w:rPr>
          <w:rFonts w:ascii="微软雅黑" w:eastAsia="微软雅黑" w:hAnsi="微软雅黑" w:hint="eastAsia"/>
          <w:szCs w:val="21"/>
        </w:rPr>
        <w:t>绩效</w:t>
      </w:r>
      <w:r w:rsidRPr="0012574A">
        <w:rPr>
          <w:rFonts w:ascii="微软雅黑" w:eastAsia="微软雅黑" w:hAnsi="微软雅黑"/>
          <w:szCs w:val="21"/>
        </w:rPr>
        <w:t>级别分别是：优秀（</w:t>
      </w:r>
      <w:r w:rsidRPr="0012574A">
        <w:rPr>
          <w:rFonts w:ascii="微软雅黑" w:eastAsia="微软雅黑" w:hAnsi="微软雅黑" w:hint="eastAsia"/>
          <w:szCs w:val="21"/>
        </w:rPr>
        <w:t>90（含）分</w:t>
      </w:r>
      <w:r w:rsidRPr="0012574A">
        <w:rPr>
          <w:rFonts w:ascii="微软雅黑" w:eastAsia="微软雅黑" w:hAnsi="微软雅黑"/>
          <w:szCs w:val="21"/>
        </w:rPr>
        <w:t>-100</w:t>
      </w:r>
      <w:r w:rsidRPr="0012574A">
        <w:rPr>
          <w:rFonts w:ascii="微软雅黑" w:eastAsia="微软雅黑" w:hAnsi="微软雅黑" w:hint="eastAsia"/>
          <w:szCs w:val="21"/>
        </w:rPr>
        <w:t>分</w:t>
      </w:r>
      <w:r w:rsidRPr="0012574A">
        <w:rPr>
          <w:rFonts w:ascii="微软雅黑" w:eastAsia="微软雅黑" w:hAnsi="微软雅黑"/>
          <w:szCs w:val="21"/>
        </w:rPr>
        <w:t>）</w:t>
      </w:r>
      <w:r w:rsidRPr="0012574A">
        <w:rPr>
          <w:rFonts w:ascii="微软雅黑" w:eastAsia="微软雅黑" w:hAnsi="微软雅黑" w:hint="eastAsia"/>
          <w:szCs w:val="21"/>
        </w:rPr>
        <w:t>、</w:t>
      </w:r>
      <w:r w:rsidRPr="0012574A">
        <w:rPr>
          <w:rFonts w:ascii="微软雅黑" w:eastAsia="微软雅黑" w:hAnsi="微软雅黑"/>
          <w:szCs w:val="21"/>
        </w:rPr>
        <w:t>良好（</w:t>
      </w:r>
      <w:r w:rsidRPr="0012574A">
        <w:rPr>
          <w:rFonts w:ascii="微软雅黑" w:eastAsia="微软雅黑" w:hAnsi="微软雅黑" w:hint="eastAsia"/>
          <w:szCs w:val="21"/>
        </w:rPr>
        <w:t>75（含）分</w:t>
      </w:r>
      <w:r w:rsidRPr="0012574A">
        <w:rPr>
          <w:rFonts w:ascii="微软雅黑" w:eastAsia="微软雅黑" w:hAnsi="微软雅黑"/>
          <w:szCs w:val="21"/>
        </w:rPr>
        <w:t>-90</w:t>
      </w:r>
      <w:r w:rsidRPr="0012574A">
        <w:rPr>
          <w:rFonts w:ascii="微软雅黑" w:eastAsia="微软雅黑" w:hAnsi="微软雅黑" w:hint="eastAsia"/>
          <w:szCs w:val="21"/>
        </w:rPr>
        <w:t>分</w:t>
      </w:r>
      <w:r w:rsidRPr="0012574A">
        <w:rPr>
          <w:rFonts w:ascii="微软雅黑" w:eastAsia="微软雅黑" w:hAnsi="微软雅黑"/>
          <w:szCs w:val="21"/>
        </w:rPr>
        <w:t>）</w:t>
      </w:r>
      <w:r w:rsidRPr="0012574A">
        <w:rPr>
          <w:rFonts w:ascii="微软雅黑" w:eastAsia="微软雅黑" w:hAnsi="微软雅黑" w:hint="eastAsia"/>
          <w:szCs w:val="21"/>
        </w:rPr>
        <w:t>、</w:t>
      </w:r>
      <w:r w:rsidRPr="0012574A">
        <w:rPr>
          <w:rFonts w:ascii="微软雅黑" w:eastAsia="微软雅黑" w:hAnsi="微软雅黑"/>
          <w:szCs w:val="21"/>
        </w:rPr>
        <w:t>一般（</w:t>
      </w:r>
      <w:r w:rsidRPr="0012574A">
        <w:rPr>
          <w:rFonts w:ascii="微软雅黑" w:eastAsia="微软雅黑" w:hAnsi="微软雅黑" w:hint="eastAsia"/>
          <w:szCs w:val="21"/>
        </w:rPr>
        <w:t>60（含）分</w:t>
      </w:r>
      <w:r w:rsidRPr="0012574A">
        <w:rPr>
          <w:rFonts w:ascii="微软雅黑" w:eastAsia="微软雅黑" w:hAnsi="微软雅黑"/>
          <w:szCs w:val="21"/>
        </w:rPr>
        <w:t>-75</w:t>
      </w:r>
      <w:r w:rsidRPr="0012574A">
        <w:rPr>
          <w:rFonts w:ascii="微软雅黑" w:eastAsia="微软雅黑" w:hAnsi="微软雅黑" w:hint="eastAsia"/>
          <w:szCs w:val="21"/>
        </w:rPr>
        <w:t>分</w:t>
      </w:r>
      <w:r w:rsidRPr="0012574A">
        <w:rPr>
          <w:rFonts w:ascii="微软雅黑" w:eastAsia="微软雅黑" w:hAnsi="微软雅黑"/>
          <w:szCs w:val="21"/>
        </w:rPr>
        <w:t>）</w:t>
      </w:r>
      <w:r w:rsidRPr="0012574A">
        <w:rPr>
          <w:rFonts w:ascii="微软雅黑" w:eastAsia="微软雅黑" w:hAnsi="微软雅黑" w:hint="eastAsia"/>
          <w:szCs w:val="21"/>
        </w:rPr>
        <w:t>、</w:t>
      </w:r>
      <w:r w:rsidRPr="0012574A">
        <w:rPr>
          <w:rFonts w:ascii="微软雅黑" w:eastAsia="微软雅黑" w:hAnsi="微软雅黑"/>
          <w:szCs w:val="21"/>
        </w:rPr>
        <w:t>较差（</w:t>
      </w:r>
      <w:r w:rsidRPr="0012574A">
        <w:rPr>
          <w:rFonts w:ascii="微软雅黑" w:eastAsia="微软雅黑" w:hAnsi="微软雅黑" w:hint="eastAsia"/>
          <w:szCs w:val="21"/>
        </w:rPr>
        <w:t>60（不含）分以下</w:t>
      </w:r>
      <w:r w:rsidRPr="0012574A">
        <w:rPr>
          <w:rFonts w:ascii="微软雅黑" w:eastAsia="微软雅黑" w:hAnsi="微软雅黑"/>
          <w:szCs w:val="21"/>
        </w:rPr>
        <w:t>）</w:t>
      </w:r>
      <w:r w:rsidRPr="0012574A">
        <w:rPr>
          <w:rFonts w:ascii="微软雅黑" w:eastAsia="微软雅黑" w:hAnsi="微软雅黑" w:hint="eastAsia"/>
          <w:szCs w:val="21"/>
        </w:rPr>
        <w:t>。</w:t>
      </w:r>
    </w:p>
    <w:sectPr w:rsidR="0012574A" w:rsidRPr="0012574A" w:rsidSect="00343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270" w:rsidRDefault="001D3270" w:rsidP="002D4CF8">
      <w:r>
        <w:separator/>
      </w:r>
    </w:p>
  </w:endnote>
  <w:endnote w:type="continuationSeparator" w:id="1">
    <w:p w:rsidR="001D3270" w:rsidRDefault="001D3270" w:rsidP="002D4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270" w:rsidRDefault="001D3270" w:rsidP="002D4CF8">
      <w:r>
        <w:separator/>
      </w:r>
    </w:p>
  </w:footnote>
  <w:footnote w:type="continuationSeparator" w:id="1">
    <w:p w:rsidR="001D3270" w:rsidRDefault="001D3270" w:rsidP="002D4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2CF3"/>
    <w:multiLevelType w:val="hybridMultilevel"/>
    <w:tmpl w:val="F67A35EC"/>
    <w:lvl w:ilvl="0" w:tplc="B644FC62">
      <w:start w:val="1"/>
      <w:numFmt w:val="japaneseCounting"/>
      <w:lvlText w:val="%1、"/>
      <w:lvlJc w:val="left"/>
      <w:pPr>
        <w:ind w:left="2144" w:hanging="720"/>
      </w:pPr>
      <w:rPr>
        <w:rFonts w:hint="default"/>
      </w:rPr>
    </w:lvl>
    <w:lvl w:ilvl="1" w:tplc="04090019" w:tentative="1">
      <w:start w:val="1"/>
      <w:numFmt w:val="lowerLetter"/>
      <w:lvlText w:val="%2)"/>
      <w:lvlJc w:val="left"/>
      <w:pPr>
        <w:ind w:left="2264" w:hanging="420"/>
      </w:pPr>
    </w:lvl>
    <w:lvl w:ilvl="2" w:tplc="0409001B" w:tentative="1">
      <w:start w:val="1"/>
      <w:numFmt w:val="lowerRoman"/>
      <w:lvlText w:val="%3."/>
      <w:lvlJc w:val="right"/>
      <w:pPr>
        <w:ind w:left="2684" w:hanging="420"/>
      </w:pPr>
    </w:lvl>
    <w:lvl w:ilvl="3" w:tplc="0409000F" w:tentative="1">
      <w:start w:val="1"/>
      <w:numFmt w:val="decimal"/>
      <w:lvlText w:val="%4."/>
      <w:lvlJc w:val="left"/>
      <w:pPr>
        <w:ind w:left="3104" w:hanging="420"/>
      </w:pPr>
    </w:lvl>
    <w:lvl w:ilvl="4" w:tplc="04090019" w:tentative="1">
      <w:start w:val="1"/>
      <w:numFmt w:val="lowerLetter"/>
      <w:lvlText w:val="%5)"/>
      <w:lvlJc w:val="left"/>
      <w:pPr>
        <w:ind w:left="3524" w:hanging="420"/>
      </w:pPr>
    </w:lvl>
    <w:lvl w:ilvl="5" w:tplc="0409001B" w:tentative="1">
      <w:start w:val="1"/>
      <w:numFmt w:val="lowerRoman"/>
      <w:lvlText w:val="%6."/>
      <w:lvlJc w:val="right"/>
      <w:pPr>
        <w:ind w:left="3944" w:hanging="420"/>
      </w:pPr>
    </w:lvl>
    <w:lvl w:ilvl="6" w:tplc="0409000F" w:tentative="1">
      <w:start w:val="1"/>
      <w:numFmt w:val="decimal"/>
      <w:lvlText w:val="%7."/>
      <w:lvlJc w:val="left"/>
      <w:pPr>
        <w:ind w:left="4364" w:hanging="420"/>
      </w:pPr>
    </w:lvl>
    <w:lvl w:ilvl="7" w:tplc="04090019" w:tentative="1">
      <w:start w:val="1"/>
      <w:numFmt w:val="lowerLetter"/>
      <w:lvlText w:val="%8)"/>
      <w:lvlJc w:val="left"/>
      <w:pPr>
        <w:ind w:left="4784" w:hanging="420"/>
      </w:pPr>
    </w:lvl>
    <w:lvl w:ilvl="8" w:tplc="0409001B" w:tentative="1">
      <w:start w:val="1"/>
      <w:numFmt w:val="lowerRoman"/>
      <w:lvlText w:val="%9."/>
      <w:lvlJc w:val="right"/>
      <w:pPr>
        <w:ind w:left="5204" w:hanging="420"/>
      </w:pPr>
    </w:lvl>
  </w:abstractNum>
  <w:abstractNum w:abstractNumId="1">
    <w:nsid w:val="5D043C24"/>
    <w:multiLevelType w:val="hybridMultilevel"/>
    <w:tmpl w:val="124078AE"/>
    <w:lvl w:ilvl="0" w:tplc="1E1A4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9110C"/>
    <w:multiLevelType w:val="hybridMultilevel"/>
    <w:tmpl w:val="259070D4"/>
    <w:lvl w:ilvl="0" w:tplc="8A5A1468">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CF8"/>
    <w:rsid w:val="00004665"/>
    <w:rsid w:val="00036B88"/>
    <w:rsid w:val="0004099B"/>
    <w:rsid w:val="00054FAD"/>
    <w:rsid w:val="00104715"/>
    <w:rsid w:val="0012574A"/>
    <w:rsid w:val="00155363"/>
    <w:rsid w:val="001617A6"/>
    <w:rsid w:val="0019149E"/>
    <w:rsid w:val="001D3270"/>
    <w:rsid w:val="001F551E"/>
    <w:rsid w:val="00201150"/>
    <w:rsid w:val="00201D4F"/>
    <w:rsid w:val="002558EA"/>
    <w:rsid w:val="002C38B2"/>
    <w:rsid w:val="002D4CF8"/>
    <w:rsid w:val="002E2325"/>
    <w:rsid w:val="003110DD"/>
    <w:rsid w:val="00313F18"/>
    <w:rsid w:val="00315FF1"/>
    <w:rsid w:val="003435ED"/>
    <w:rsid w:val="003D4FE2"/>
    <w:rsid w:val="00402086"/>
    <w:rsid w:val="00462115"/>
    <w:rsid w:val="004938DA"/>
    <w:rsid w:val="004C15D6"/>
    <w:rsid w:val="004F46B4"/>
    <w:rsid w:val="004F669A"/>
    <w:rsid w:val="005B74A7"/>
    <w:rsid w:val="005C2766"/>
    <w:rsid w:val="005C5D87"/>
    <w:rsid w:val="005F52E1"/>
    <w:rsid w:val="00680F3F"/>
    <w:rsid w:val="00691C50"/>
    <w:rsid w:val="00692E69"/>
    <w:rsid w:val="006D7C07"/>
    <w:rsid w:val="006E0AE3"/>
    <w:rsid w:val="006F793E"/>
    <w:rsid w:val="0071219F"/>
    <w:rsid w:val="007139A2"/>
    <w:rsid w:val="007514C3"/>
    <w:rsid w:val="00836A43"/>
    <w:rsid w:val="008436EA"/>
    <w:rsid w:val="0085082E"/>
    <w:rsid w:val="008562BF"/>
    <w:rsid w:val="008E132C"/>
    <w:rsid w:val="0090710C"/>
    <w:rsid w:val="00923AA1"/>
    <w:rsid w:val="009518BB"/>
    <w:rsid w:val="00963FE0"/>
    <w:rsid w:val="009B170A"/>
    <w:rsid w:val="009B6AD3"/>
    <w:rsid w:val="009D09D3"/>
    <w:rsid w:val="009F12F0"/>
    <w:rsid w:val="00A20610"/>
    <w:rsid w:val="00A30925"/>
    <w:rsid w:val="00A47037"/>
    <w:rsid w:val="00A477C9"/>
    <w:rsid w:val="00A7331F"/>
    <w:rsid w:val="00B002CD"/>
    <w:rsid w:val="00B41649"/>
    <w:rsid w:val="00B541BB"/>
    <w:rsid w:val="00B771E5"/>
    <w:rsid w:val="00B92CC2"/>
    <w:rsid w:val="00BB7DA2"/>
    <w:rsid w:val="00BC2D4E"/>
    <w:rsid w:val="00BE00AC"/>
    <w:rsid w:val="00BF2DAA"/>
    <w:rsid w:val="00C17BBB"/>
    <w:rsid w:val="00C46558"/>
    <w:rsid w:val="00C55828"/>
    <w:rsid w:val="00C83EF7"/>
    <w:rsid w:val="00CC2A59"/>
    <w:rsid w:val="00CD77A9"/>
    <w:rsid w:val="00CE2678"/>
    <w:rsid w:val="00D0766C"/>
    <w:rsid w:val="00D107F9"/>
    <w:rsid w:val="00D67808"/>
    <w:rsid w:val="00D84D13"/>
    <w:rsid w:val="00D92071"/>
    <w:rsid w:val="00D95237"/>
    <w:rsid w:val="00E22641"/>
    <w:rsid w:val="00E37120"/>
    <w:rsid w:val="00E518BC"/>
    <w:rsid w:val="00E5297B"/>
    <w:rsid w:val="00F004B1"/>
    <w:rsid w:val="00F10937"/>
    <w:rsid w:val="00F263AF"/>
    <w:rsid w:val="00F82929"/>
    <w:rsid w:val="00FB7B4F"/>
    <w:rsid w:val="00FD3631"/>
    <w:rsid w:val="00FD7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CF8"/>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2D4CF8"/>
    <w:rPr>
      <w:sz w:val="18"/>
      <w:szCs w:val="18"/>
    </w:rPr>
  </w:style>
  <w:style w:type="paragraph" w:styleId="a4">
    <w:name w:val="footer"/>
    <w:basedOn w:val="a"/>
    <w:link w:val="Char0"/>
    <w:uiPriority w:val="99"/>
    <w:unhideWhenUsed/>
    <w:rsid w:val="002D4CF8"/>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2D4CF8"/>
    <w:rPr>
      <w:sz w:val="18"/>
      <w:szCs w:val="18"/>
    </w:rPr>
  </w:style>
  <w:style w:type="paragraph" w:styleId="a5">
    <w:name w:val="List Paragraph"/>
    <w:basedOn w:val="a"/>
    <w:uiPriority w:val="34"/>
    <w:qFormat/>
    <w:rsid w:val="00E518B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397</Characters>
  <Application>Microsoft Office Word</Application>
  <DocSecurity>0</DocSecurity>
  <Lines>15</Lines>
  <Paragraphs>16</Paragraphs>
  <ScaleCrop>false</ScaleCrop>
  <Company>Lenovo</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cw000</cp:lastModifiedBy>
  <cp:revision>2</cp:revision>
  <dcterms:created xsi:type="dcterms:W3CDTF">2020-08-14T08:07:00Z</dcterms:created>
  <dcterms:modified xsi:type="dcterms:W3CDTF">2020-08-14T08:07:00Z</dcterms:modified>
</cp:coreProperties>
</file>