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04AD2">
      <w:pPr>
        <w:tabs>
          <w:tab w:val="center" w:pos="6979"/>
        </w:tabs>
        <w:jc w:val="center"/>
        <w:rPr>
          <w:rFonts w:ascii="方正小标宋简体" w:eastAsia="方正小标宋简体"/>
          <w:b/>
          <w:sz w:val="44"/>
          <w:szCs w:val="44"/>
        </w:rPr>
      </w:pPr>
      <w:r>
        <w:rPr>
          <w:rFonts w:ascii="方正小标宋简体" w:eastAsia="方正小标宋简体" w:hint="eastAsia"/>
          <w:b/>
          <w:sz w:val="44"/>
          <w:szCs w:val="44"/>
        </w:rPr>
        <w:t>第</w:t>
      </w:r>
      <w:r>
        <w:rPr>
          <w:rFonts w:ascii="方正小标宋简体" w:eastAsia="方正小标宋简体" w:hint="eastAsia"/>
          <w:b/>
          <w:sz w:val="44"/>
          <w:szCs w:val="44"/>
        </w:rPr>
        <w:t xml:space="preserve"> </w:t>
      </w:r>
      <w:r>
        <w:rPr>
          <w:rFonts w:ascii="方正小标宋简体" w:eastAsia="方正小标宋简体" w:hint="eastAsia"/>
          <w:b/>
          <w:sz w:val="44"/>
          <w:szCs w:val="44"/>
        </w:rPr>
        <w:t>三</w:t>
      </w:r>
      <w:r>
        <w:rPr>
          <w:rFonts w:ascii="方正小标宋简体" w:eastAsia="方正小标宋简体" w:hint="eastAsia"/>
          <w:b/>
          <w:sz w:val="44"/>
          <w:szCs w:val="44"/>
        </w:rPr>
        <w:t xml:space="preserve"> </w:t>
      </w:r>
      <w:r>
        <w:rPr>
          <w:rFonts w:ascii="方正小标宋简体" w:eastAsia="方正小标宋简体" w:hint="eastAsia"/>
          <w:b/>
          <w:sz w:val="44"/>
          <w:szCs w:val="44"/>
        </w:rPr>
        <w:t>部</w:t>
      </w:r>
      <w:r>
        <w:rPr>
          <w:rFonts w:ascii="方正小标宋简体" w:eastAsia="方正小标宋简体" w:hint="eastAsia"/>
          <w:b/>
          <w:sz w:val="44"/>
          <w:szCs w:val="44"/>
        </w:rPr>
        <w:t xml:space="preserve"> </w:t>
      </w:r>
      <w:r>
        <w:rPr>
          <w:rFonts w:ascii="方正小标宋简体" w:eastAsia="方正小标宋简体" w:hint="eastAsia"/>
          <w:b/>
          <w:sz w:val="44"/>
          <w:szCs w:val="44"/>
        </w:rPr>
        <w:t>分</w:t>
      </w:r>
    </w:p>
    <w:p w:rsidR="00000000" w:rsidRDefault="00904AD2" w:rsidP="00BD25C1">
      <w:pPr>
        <w:tabs>
          <w:tab w:val="center" w:pos="6979"/>
        </w:tabs>
        <w:spacing w:line="60" w:lineRule="auto"/>
        <w:ind w:firstLineChars="196" w:firstLine="863"/>
        <w:rPr>
          <w:rFonts w:ascii="方正小标宋简体" w:eastAsia="方正小标宋简体" w:hint="eastAsia"/>
          <w:b/>
          <w:sz w:val="44"/>
          <w:szCs w:val="44"/>
        </w:rPr>
      </w:pPr>
      <w:r>
        <w:rPr>
          <w:rFonts w:ascii="方正小标宋简体" w:eastAsia="方正小标宋简体" w:hint="eastAsia"/>
          <w:b/>
          <w:sz w:val="44"/>
          <w:szCs w:val="44"/>
        </w:rPr>
        <w:t>2019</w:t>
      </w:r>
      <w:r>
        <w:rPr>
          <w:rFonts w:ascii="方正小标宋简体" w:eastAsia="方正小标宋简体" w:hint="eastAsia"/>
          <w:b/>
          <w:sz w:val="44"/>
          <w:szCs w:val="44"/>
        </w:rPr>
        <w:t>年度其他重要事项的情况说明</w:t>
      </w:r>
    </w:p>
    <w:p w:rsidR="00000000" w:rsidRDefault="00904AD2">
      <w:pPr>
        <w:numPr>
          <w:ilvl w:val="0"/>
          <w:numId w:val="1"/>
        </w:numPr>
        <w:tabs>
          <w:tab w:val="center" w:pos="6979"/>
        </w:tabs>
        <w:spacing w:line="60" w:lineRule="auto"/>
        <w:ind w:firstLineChars="196" w:firstLine="630"/>
        <w:rPr>
          <w:rFonts w:ascii="仿宋_GB2312" w:eastAsia="仿宋_GB2312" w:hint="eastAsia"/>
          <w:b/>
          <w:sz w:val="32"/>
          <w:szCs w:val="32"/>
        </w:rPr>
      </w:pPr>
      <w:r>
        <w:rPr>
          <w:rFonts w:ascii="仿宋_GB2312" w:eastAsia="仿宋_GB2312" w:hint="eastAsia"/>
          <w:b/>
          <w:sz w:val="32"/>
          <w:szCs w:val="32"/>
        </w:rPr>
        <w:t>“三公”经费财政拨款支出</w:t>
      </w:r>
      <w:r>
        <w:rPr>
          <w:rFonts w:ascii="仿宋_GB2312" w:eastAsia="仿宋_GB2312" w:hint="eastAsia"/>
          <w:b/>
          <w:sz w:val="32"/>
          <w:szCs w:val="32"/>
        </w:rPr>
        <w:t>情况</w:t>
      </w:r>
    </w:p>
    <w:p w:rsidR="00000000" w:rsidRDefault="00904AD2">
      <w:pPr>
        <w:pStyle w:val="a8"/>
        <w:shd w:val="clear" w:color="auto" w:fill="FFFFFF"/>
        <w:ind w:firstLineChars="200" w:firstLine="640"/>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北京市海淀区圆明园管理处部门因公出国（境）费用、公务接待费、公务用车购置和公务用车运行维护费开支单位包括所属</w:t>
      </w:r>
      <w:r>
        <w:rPr>
          <w:rFonts w:ascii="仿宋_GB2312" w:eastAsia="仿宋_GB2312" w:hAnsi="Times New Roman" w:cs="Times New Roman" w:hint="eastAsia"/>
          <w:kern w:val="2"/>
          <w:sz w:val="32"/>
          <w:szCs w:val="32"/>
        </w:rPr>
        <w:t>0</w:t>
      </w:r>
      <w:r>
        <w:rPr>
          <w:rFonts w:ascii="仿宋_GB2312" w:eastAsia="仿宋_GB2312" w:hAnsi="Times New Roman" w:cs="Times New Roman" w:hint="eastAsia"/>
          <w:kern w:val="2"/>
          <w:sz w:val="32"/>
          <w:szCs w:val="32"/>
        </w:rPr>
        <w:t>个行政单位、</w:t>
      </w:r>
      <w:r>
        <w:rPr>
          <w:rFonts w:ascii="仿宋_GB2312" w:eastAsia="仿宋_GB2312" w:hAnsi="Times New Roman" w:cs="Times New Roman" w:hint="eastAsia"/>
          <w:kern w:val="2"/>
          <w:sz w:val="32"/>
          <w:szCs w:val="32"/>
        </w:rPr>
        <w:t>1</w:t>
      </w:r>
      <w:r>
        <w:rPr>
          <w:rFonts w:ascii="仿宋_GB2312" w:eastAsia="仿宋_GB2312" w:hAnsi="Times New Roman" w:cs="Times New Roman" w:hint="eastAsia"/>
          <w:kern w:val="2"/>
          <w:sz w:val="32"/>
          <w:szCs w:val="32"/>
        </w:rPr>
        <w:t>个差额拨款事业单位。</w:t>
      </w:r>
    </w:p>
    <w:p w:rsidR="00000000" w:rsidRDefault="00904AD2">
      <w:pPr>
        <w:pStyle w:val="a8"/>
        <w:shd w:val="clear" w:color="auto" w:fill="FFFFFF"/>
        <w:ind w:firstLineChars="200" w:firstLine="640"/>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201</w:t>
      </w:r>
      <w:r>
        <w:rPr>
          <w:rFonts w:ascii="仿宋_GB2312" w:eastAsia="仿宋_GB2312" w:hAnsi="Times New Roman" w:cs="Times New Roman" w:hint="eastAsia"/>
          <w:kern w:val="2"/>
          <w:sz w:val="32"/>
          <w:szCs w:val="32"/>
        </w:rPr>
        <w:t>9</w:t>
      </w:r>
      <w:r>
        <w:rPr>
          <w:rFonts w:ascii="仿宋_GB2312" w:eastAsia="仿宋_GB2312" w:hAnsi="Times New Roman" w:cs="Times New Roman" w:hint="eastAsia"/>
          <w:kern w:val="2"/>
          <w:sz w:val="32"/>
          <w:szCs w:val="32"/>
        </w:rPr>
        <w:t>年“三公”经费财政拨款决算数</w:t>
      </w:r>
      <w:r>
        <w:rPr>
          <w:rFonts w:ascii="仿宋_GB2312" w:eastAsia="仿宋_GB2312" w:hAnsi="Times New Roman" w:cs="Times New Roman" w:hint="eastAsia"/>
          <w:kern w:val="2"/>
          <w:sz w:val="32"/>
          <w:szCs w:val="32"/>
        </w:rPr>
        <w:t>5.</w:t>
      </w:r>
      <w:r>
        <w:rPr>
          <w:rFonts w:ascii="仿宋_GB2312" w:eastAsia="仿宋_GB2312" w:hAnsi="Times New Roman" w:cs="Times New Roman" w:hint="eastAsia"/>
          <w:kern w:val="2"/>
          <w:sz w:val="32"/>
          <w:szCs w:val="32"/>
        </w:rPr>
        <w:t>12</w:t>
      </w:r>
      <w:r>
        <w:rPr>
          <w:rFonts w:ascii="仿宋_GB2312" w:eastAsia="仿宋_GB2312" w:hAnsi="Times New Roman" w:cs="Times New Roman" w:hint="eastAsia"/>
          <w:kern w:val="2"/>
          <w:sz w:val="32"/>
          <w:szCs w:val="32"/>
        </w:rPr>
        <w:t>万元，比</w:t>
      </w:r>
      <w:r>
        <w:rPr>
          <w:rFonts w:ascii="仿宋_GB2312" w:eastAsia="仿宋_GB2312" w:hAnsi="Times New Roman" w:cs="Times New Roman" w:hint="eastAsia"/>
          <w:kern w:val="2"/>
          <w:sz w:val="32"/>
          <w:szCs w:val="32"/>
        </w:rPr>
        <w:t>201</w:t>
      </w:r>
      <w:r>
        <w:rPr>
          <w:rFonts w:ascii="仿宋_GB2312" w:eastAsia="仿宋_GB2312" w:hAnsi="Times New Roman" w:cs="Times New Roman" w:hint="eastAsia"/>
          <w:kern w:val="2"/>
          <w:sz w:val="32"/>
          <w:szCs w:val="32"/>
        </w:rPr>
        <w:t>9</w:t>
      </w:r>
      <w:r>
        <w:rPr>
          <w:rFonts w:ascii="仿宋_GB2312" w:eastAsia="仿宋_GB2312" w:hAnsi="Times New Roman" w:cs="Times New Roman" w:hint="eastAsia"/>
          <w:kern w:val="2"/>
          <w:sz w:val="32"/>
          <w:szCs w:val="32"/>
        </w:rPr>
        <w:t>年“三公”经费财政拨款预算下达数</w:t>
      </w:r>
      <w:r>
        <w:rPr>
          <w:rFonts w:ascii="仿宋_GB2312" w:eastAsia="仿宋_GB2312" w:hAnsi="Times New Roman" w:cs="Times New Roman" w:hint="eastAsia"/>
          <w:kern w:val="2"/>
          <w:sz w:val="32"/>
          <w:szCs w:val="32"/>
        </w:rPr>
        <w:t>5.00</w:t>
      </w:r>
      <w:r>
        <w:rPr>
          <w:rFonts w:ascii="仿宋_GB2312" w:eastAsia="仿宋_GB2312" w:hAnsi="Times New Roman" w:cs="Times New Roman" w:hint="eastAsia"/>
          <w:kern w:val="2"/>
          <w:sz w:val="32"/>
          <w:szCs w:val="32"/>
        </w:rPr>
        <w:t>万元增加</w:t>
      </w:r>
      <w:r>
        <w:rPr>
          <w:rFonts w:ascii="仿宋_GB2312" w:eastAsia="仿宋_GB2312" w:hAnsi="Times New Roman" w:cs="Times New Roman" w:hint="eastAsia"/>
          <w:kern w:val="2"/>
          <w:sz w:val="32"/>
          <w:szCs w:val="32"/>
        </w:rPr>
        <w:t>0.</w:t>
      </w:r>
      <w:r>
        <w:rPr>
          <w:rFonts w:ascii="仿宋_GB2312" w:eastAsia="仿宋_GB2312" w:hAnsi="Times New Roman" w:cs="Times New Roman" w:hint="eastAsia"/>
          <w:kern w:val="2"/>
          <w:sz w:val="32"/>
          <w:szCs w:val="32"/>
        </w:rPr>
        <w:t>12</w:t>
      </w:r>
      <w:r>
        <w:rPr>
          <w:rFonts w:ascii="仿宋_GB2312" w:eastAsia="仿宋_GB2312" w:hAnsi="Times New Roman" w:cs="Times New Roman" w:hint="eastAsia"/>
          <w:kern w:val="2"/>
          <w:sz w:val="32"/>
          <w:szCs w:val="32"/>
        </w:rPr>
        <w:t>万元。其中：</w:t>
      </w:r>
    </w:p>
    <w:p w:rsidR="00000000" w:rsidRDefault="00904AD2">
      <w:pPr>
        <w:spacing w:line="560" w:lineRule="exact"/>
        <w:ind w:firstLine="60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、因公出国（境）费用。</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年决算数</w:t>
      </w:r>
      <w:r>
        <w:rPr>
          <w:rFonts w:ascii="仿宋_GB2312" w:eastAsia="仿宋_GB2312" w:hint="eastAsia"/>
          <w:sz w:val="32"/>
          <w:szCs w:val="32"/>
        </w:rPr>
        <w:t>0.00</w:t>
      </w:r>
      <w:r>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年预算下达数</w:t>
      </w:r>
      <w:r>
        <w:rPr>
          <w:rFonts w:ascii="仿宋_GB2312" w:eastAsia="仿宋_GB2312" w:hint="eastAsia"/>
          <w:sz w:val="32"/>
          <w:szCs w:val="32"/>
        </w:rPr>
        <w:t>0.00</w:t>
      </w:r>
      <w:r>
        <w:rPr>
          <w:rFonts w:ascii="仿宋_GB2312" w:eastAsia="仿宋_GB2312" w:hint="eastAsia"/>
          <w:sz w:val="32"/>
          <w:szCs w:val="32"/>
        </w:rPr>
        <w:t>万元增加</w:t>
      </w:r>
      <w:r>
        <w:rPr>
          <w:rFonts w:ascii="仿宋_GB2312" w:eastAsia="仿宋_GB2312" w:hint="eastAsia"/>
          <w:sz w:val="32"/>
          <w:szCs w:val="32"/>
        </w:rPr>
        <w:t>0.00</w:t>
      </w:r>
      <w:r>
        <w:rPr>
          <w:rFonts w:ascii="仿宋_GB2312" w:eastAsia="仿宋_GB2312" w:hint="eastAsia"/>
          <w:sz w:val="32"/>
          <w:szCs w:val="32"/>
        </w:rPr>
        <w:t>万元。</w:t>
      </w:r>
    </w:p>
    <w:p w:rsidR="00000000" w:rsidRDefault="00904AD2">
      <w:pPr>
        <w:spacing w:line="560" w:lineRule="exact"/>
        <w:ind w:firstLine="600"/>
        <w:rPr>
          <w:rFonts w:ascii="仿宋_GB2312" w:eastAsia="仿宋_GB2312"/>
          <w:sz w:val="32"/>
          <w:szCs w:val="32"/>
        </w:rPr>
      </w:pPr>
      <w:r>
        <w:rPr>
          <w:rFonts w:ascii="仿宋_GB2312" w:eastAsia="仿宋_GB2312" w:hint="eastAsia"/>
          <w:sz w:val="32"/>
          <w:szCs w:val="32"/>
        </w:rPr>
        <w:t> </w:t>
      </w:r>
      <w:r>
        <w:rPr>
          <w:rFonts w:ascii="仿宋_GB2312" w:eastAsia="仿宋_GB2312" w:hint="eastAsia"/>
          <w:sz w:val="32"/>
          <w:szCs w:val="32"/>
        </w:rPr>
        <w:t>2</w:t>
      </w:r>
      <w:r>
        <w:rPr>
          <w:rFonts w:ascii="仿宋_GB2312" w:eastAsia="仿宋_GB2312" w:hint="eastAsia"/>
          <w:sz w:val="32"/>
          <w:szCs w:val="32"/>
        </w:rPr>
        <w:t>、公务接待费。</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年决算数</w:t>
      </w:r>
      <w:r>
        <w:rPr>
          <w:rFonts w:ascii="仿宋_GB2312" w:eastAsia="仿宋_GB2312" w:hint="eastAsia"/>
          <w:sz w:val="32"/>
          <w:szCs w:val="32"/>
        </w:rPr>
        <w:t>0.00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人数，比</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年预算下达数</w:t>
      </w:r>
      <w:r>
        <w:rPr>
          <w:rFonts w:ascii="仿宋_GB2312" w:eastAsia="仿宋_GB2312" w:hint="eastAsia"/>
          <w:sz w:val="32"/>
          <w:szCs w:val="32"/>
        </w:rPr>
        <w:t>0.00</w:t>
      </w:r>
      <w:r>
        <w:rPr>
          <w:rFonts w:ascii="仿宋_GB2312" w:eastAsia="仿宋_GB2312" w:hint="eastAsia"/>
          <w:sz w:val="32"/>
          <w:szCs w:val="32"/>
        </w:rPr>
        <w:t>万元增加</w:t>
      </w:r>
      <w:r>
        <w:rPr>
          <w:rFonts w:ascii="仿宋_GB2312" w:eastAsia="仿宋_GB2312" w:hint="eastAsia"/>
          <w:sz w:val="32"/>
          <w:szCs w:val="32"/>
        </w:rPr>
        <w:t>0.00</w:t>
      </w:r>
      <w:r>
        <w:rPr>
          <w:rFonts w:ascii="仿宋_GB2312" w:eastAsia="仿宋_GB2312" w:hint="eastAsia"/>
          <w:sz w:val="32"/>
          <w:szCs w:val="32"/>
        </w:rPr>
        <w:t>万元。</w:t>
      </w:r>
    </w:p>
    <w:p w:rsidR="00000000" w:rsidRDefault="00904AD2">
      <w:pPr>
        <w:spacing w:line="560" w:lineRule="exact"/>
        <w:ind w:firstLine="600"/>
        <w:rPr>
          <w:rFonts w:ascii="仿宋_GB2312" w:eastAsia="仿宋_GB2312" w:hint="eastAsia"/>
          <w:sz w:val="32"/>
          <w:szCs w:val="32"/>
        </w:rPr>
      </w:pPr>
      <w:r>
        <w:rPr>
          <w:rFonts w:ascii="仿宋_GB2312" w:eastAsia="仿宋_GB2312" w:hint="eastAsia"/>
          <w:sz w:val="32"/>
          <w:szCs w:val="32"/>
        </w:rPr>
        <w:t>3</w:t>
      </w:r>
      <w:r>
        <w:rPr>
          <w:rFonts w:ascii="仿宋_GB2312" w:eastAsia="仿宋_GB2312" w:hint="eastAsia"/>
          <w:sz w:val="32"/>
          <w:szCs w:val="32"/>
        </w:rPr>
        <w:t>、公务用车购置及运行维护费。</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年决算数</w:t>
      </w:r>
      <w:r>
        <w:rPr>
          <w:rFonts w:ascii="仿宋_GB2312" w:eastAsia="仿宋_GB2312" w:hint="eastAsia"/>
          <w:sz w:val="32"/>
          <w:szCs w:val="32"/>
        </w:rPr>
        <w:t>5.</w:t>
      </w:r>
      <w:r>
        <w:rPr>
          <w:rFonts w:ascii="仿宋_GB2312" w:eastAsia="仿宋_GB2312" w:hint="eastAsia"/>
          <w:sz w:val="32"/>
          <w:szCs w:val="32"/>
        </w:rPr>
        <w:t>12</w:t>
      </w:r>
      <w:r>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年预算下达数</w:t>
      </w:r>
      <w:r>
        <w:rPr>
          <w:rFonts w:ascii="仿宋_GB2312" w:eastAsia="仿宋_GB2312" w:hint="eastAsia"/>
          <w:sz w:val="32"/>
          <w:szCs w:val="32"/>
        </w:rPr>
        <w:t>5.00</w:t>
      </w:r>
      <w:r>
        <w:rPr>
          <w:rFonts w:ascii="仿宋_GB2312" w:eastAsia="仿宋_GB2312" w:hint="eastAsia"/>
          <w:sz w:val="32"/>
          <w:szCs w:val="32"/>
        </w:rPr>
        <w:t>万元增加</w:t>
      </w:r>
      <w:r>
        <w:rPr>
          <w:rFonts w:ascii="仿宋_GB2312" w:eastAsia="仿宋_GB2312" w:hint="eastAsia"/>
          <w:sz w:val="32"/>
          <w:szCs w:val="32"/>
        </w:rPr>
        <w:t>0.</w:t>
      </w:r>
      <w:r>
        <w:rPr>
          <w:rFonts w:ascii="仿宋_GB2312" w:eastAsia="仿宋_GB2312" w:hint="eastAsia"/>
          <w:sz w:val="32"/>
          <w:szCs w:val="32"/>
        </w:rPr>
        <w:t>12</w:t>
      </w:r>
      <w:r>
        <w:rPr>
          <w:rFonts w:ascii="仿宋_GB2312" w:eastAsia="仿宋_GB2312" w:hint="eastAsia"/>
          <w:sz w:val="32"/>
          <w:szCs w:val="32"/>
        </w:rPr>
        <w:t>万元。其中，公务用车购置费</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年决算数</w:t>
      </w:r>
      <w:r>
        <w:rPr>
          <w:rFonts w:ascii="仿宋_GB2312" w:eastAsia="仿宋_GB2312" w:hint="eastAsia"/>
          <w:sz w:val="32"/>
          <w:szCs w:val="32"/>
        </w:rPr>
        <w:t>0.00</w:t>
      </w:r>
      <w:r>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年预算下达数</w:t>
      </w:r>
      <w:r>
        <w:rPr>
          <w:rFonts w:ascii="仿宋_GB2312" w:eastAsia="仿宋_GB2312" w:hint="eastAsia"/>
          <w:sz w:val="32"/>
          <w:szCs w:val="32"/>
        </w:rPr>
        <w:t>0.00</w:t>
      </w:r>
      <w:r>
        <w:rPr>
          <w:rFonts w:ascii="仿宋_GB2312" w:eastAsia="仿宋_GB2312" w:hint="eastAsia"/>
          <w:sz w:val="32"/>
          <w:szCs w:val="32"/>
        </w:rPr>
        <w:t>万元增加</w:t>
      </w:r>
      <w:r>
        <w:rPr>
          <w:rFonts w:ascii="仿宋_GB2312" w:eastAsia="仿宋_GB2312" w:hint="eastAsia"/>
          <w:sz w:val="32"/>
          <w:szCs w:val="32"/>
        </w:rPr>
        <w:t>0.00</w:t>
      </w:r>
      <w:r>
        <w:rPr>
          <w:rFonts w:ascii="仿宋_GB2312" w:eastAsia="仿宋_GB2312" w:hint="eastAsia"/>
          <w:sz w:val="32"/>
          <w:szCs w:val="32"/>
        </w:rPr>
        <w:t>万元。</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年购置（更新）</w:t>
      </w:r>
      <w:r>
        <w:rPr>
          <w:rFonts w:ascii="仿宋_GB2312" w:eastAsia="仿宋_GB2312" w:hint="eastAsia"/>
          <w:sz w:val="32"/>
          <w:szCs w:val="32"/>
        </w:rPr>
        <w:t>0</w:t>
      </w:r>
      <w:r>
        <w:rPr>
          <w:rFonts w:ascii="仿宋_GB2312" w:eastAsia="仿宋_GB2312" w:hint="eastAsia"/>
          <w:sz w:val="32"/>
          <w:szCs w:val="32"/>
        </w:rPr>
        <w:t>辆，车均购置费</w:t>
      </w:r>
      <w:r>
        <w:rPr>
          <w:rFonts w:ascii="仿宋_GB2312" w:eastAsia="仿宋_GB2312" w:hint="eastAsia"/>
          <w:sz w:val="32"/>
          <w:szCs w:val="32"/>
        </w:rPr>
        <w:t>0.00</w:t>
      </w:r>
      <w:r>
        <w:rPr>
          <w:rFonts w:ascii="仿宋_GB2312" w:eastAsia="仿宋_GB2312" w:hint="eastAsia"/>
          <w:sz w:val="32"/>
          <w:szCs w:val="32"/>
        </w:rPr>
        <w:t>万元。公务用车运行维护费</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年决算数</w:t>
      </w:r>
      <w:r>
        <w:rPr>
          <w:rFonts w:ascii="仿宋_GB2312" w:eastAsia="仿宋_GB2312" w:hint="eastAsia"/>
          <w:sz w:val="32"/>
          <w:szCs w:val="32"/>
        </w:rPr>
        <w:t>5.</w:t>
      </w:r>
      <w:r>
        <w:rPr>
          <w:rFonts w:ascii="仿宋_GB2312" w:eastAsia="仿宋_GB2312" w:hint="eastAsia"/>
          <w:sz w:val="32"/>
          <w:szCs w:val="32"/>
        </w:rPr>
        <w:t>12</w:t>
      </w:r>
      <w:r>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年预算下达数</w:t>
      </w:r>
      <w:r>
        <w:rPr>
          <w:rFonts w:ascii="仿宋_GB2312" w:eastAsia="仿宋_GB2312" w:hint="eastAsia"/>
          <w:sz w:val="32"/>
          <w:szCs w:val="32"/>
        </w:rPr>
        <w:t>5.00</w:t>
      </w:r>
      <w:r>
        <w:rPr>
          <w:rFonts w:ascii="仿宋_GB2312" w:eastAsia="仿宋_GB2312" w:hint="eastAsia"/>
          <w:sz w:val="32"/>
          <w:szCs w:val="32"/>
        </w:rPr>
        <w:t>万元增加</w:t>
      </w:r>
      <w:r>
        <w:rPr>
          <w:rFonts w:ascii="仿宋_GB2312" w:eastAsia="仿宋_GB2312" w:hint="eastAsia"/>
          <w:sz w:val="32"/>
          <w:szCs w:val="32"/>
        </w:rPr>
        <w:t>0.</w:t>
      </w:r>
      <w:r>
        <w:rPr>
          <w:rFonts w:ascii="仿宋_GB2312" w:eastAsia="仿宋_GB2312" w:hint="eastAsia"/>
          <w:sz w:val="32"/>
          <w:szCs w:val="32"/>
        </w:rPr>
        <w:t>12</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主要原因：与年初预算口径不一致</w:t>
      </w:r>
      <w:r>
        <w:rPr>
          <w:rFonts w:ascii="仿宋_GB2312" w:eastAsia="仿宋_GB2312" w:hint="eastAsia"/>
          <w:sz w:val="32"/>
          <w:szCs w:val="32"/>
        </w:rPr>
        <w:t>。</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年公务用车</w:t>
      </w:r>
      <w:r>
        <w:rPr>
          <w:rFonts w:ascii="仿宋_GB2312" w:eastAsia="仿宋_GB2312" w:hint="eastAsia"/>
          <w:sz w:val="32"/>
          <w:szCs w:val="32"/>
        </w:rPr>
        <w:t>保有量</w:t>
      </w:r>
      <w:r>
        <w:rPr>
          <w:rFonts w:ascii="仿宋_GB2312" w:eastAsia="仿宋_GB2312" w:hint="eastAsia"/>
          <w:sz w:val="32"/>
          <w:szCs w:val="32"/>
        </w:rPr>
        <w:t>4</w:t>
      </w:r>
      <w:r>
        <w:rPr>
          <w:rFonts w:ascii="仿宋_GB2312" w:eastAsia="仿宋_GB2312" w:hint="eastAsia"/>
          <w:sz w:val="32"/>
          <w:szCs w:val="32"/>
        </w:rPr>
        <w:t>辆，车均运行维护</w:t>
      </w:r>
      <w:r>
        <w:rPr>
          <w:rFonts w:ascii="仿宋_GB2312" w:eastAsia="仿宋_GB2312" w:hint="eastAsia"/>
          <w:sz w:val="32"/>
          <w:szCs w:val="32"/>
        </w:rPr>
        <w:t>费</w:t>
      </w:r>
      <w:r>
        <w:rPr>
          <w:rFonts w:ascii="仿宋_GB2312" w:eastAsia="仿宋_GB2312" w:hint="eastAsia"/>
          <w:sz w:val="32"/>
          <w:szCs w:val="32"/>
        </w:rPr>
        <w:t>1.2</w:t>
      </w:r>
      <w:r>
        <w:rPr>
          <w:rFonts w:ascii="仿宋_GB2312" w:eastAsia="仿宋_GB2312" w:hint="eastAsia"/>
          <w:sz w:val="32"/>
          <w:szCs w:val="32"/>
        </w:rPr>
        <w:t>8</w:t>
      </w:r>
      <w:r>
        <w:rPr>
          <w:rFonts w:ascii="仿宋_GB2312" w:eastAsia="仿宋_GB2312" w:hint="eastAsia"/>
          <w:sz w:val="32"/>
          <w:szCs w:val="32"/>
        </w:rPr>
        <w:t>万元。</w:t>
      </w:r>
    </w:p>
    <w:p w:rsidR="00000000" w:rsidRDefault="00904AD2">
      <w:pPr>
        <w:numPr>
          <w:ilvl w:val="0"/>
          <w:numId w:val="1"/>
        </w:numPr>
        <w:tabs>
          <w:tab w:val="center" w:pos="6979"/>
        </w:tabs>
        <w:spacing w:line="60" w:lineRule="auto"/>
        <w:ind w:firstLineChars="196" w:firstLine="630"/>
        <w:rPr>
          <w:rFonts w:ascii="仿宋_GB2312" w:eastAsia="仿宋_GB2312" w:hint="eastAsia"/>
          <w:b/>
          <w:sz w:val="32"/>
          <w:szCs w:val="32"/>
        </w:rPr>
      </w:pPr>
      <w:r>
        <w:rPr>
          <w:rFonts w:ascii="仿宋_GB2312" w:eastAsia="仿宋_GB2312" w:hint="eastAsia"/>
          <w:b/>
          <w:sz w:val="32"/>
          <w:szCs w:val="32"/>
        </w:rPr>
        <w:lastRenderedPageBreak/>
        <w:t>2019</w:t>
      </w:r>
      <w:r>
        <w:rPr>
          <w:rFonts w:ascii="仿宋_GB2312" w:eastAsia="仿宋_GB2312" w:hint="eastAsia"/>
          <w:b/>
          <w:sz w:val="32"/>
          <w:szCs w:val="32"/>
        </w:rPr>
        <w:t>年度机关运行经费支出情况</w:t>
      </w:r>
    </w:p>
    <w:p w:rsidR="00000000" w:rsidRDefault="00904AD2">
      <w:pPr>
        <w:pStyle w:val="a8"/>
        <w:shd w:val="clear" w:color="auto" w:fill="FFFFFF"/>
      </w:pPr>
      <w:r>
        <w:rPr>
          <w:rFonts w:ascii="楷体_GB2312" w:eastAsia="楷体_GB2312" w:hint="eastAsia"/>
          <w:sz w:val="21"/>
          <w:szCs w:val="21"/>
        </w:rPr>
        <w:t>  </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201</w:t>
      </w:r>
      <w:r>
        <w:rPr>
          <w:rFonts w:ascii="仿宋_GB2312" w:eastAsia="仿宋_GB2312" w:hAnsi="Times New Roman" w:cs="Times New Roman" w:hint="eastAsia"/>
          <w:kern w:val="2"/>
          <w:sz w:val="32"/>
          <w:szCs w:val="32"/>
        </w:rPr>
        <w:t>9</w:t>
      </w:r>
      <w:r>
        <w:rPr>
          <w:rFonts w:ascii="仿宋_GB2312" w:eastAsia="仿宋_GB2312" w:hAnsi="Times New Roman" w:cs="Times New Roman" w:hint="eastAsia"/>
          <w:kern w:val="2"/>
          <w:sz w:val="32"/>
          <w:szCs w:val="32"/>
        </w:rPr>
        <w:t>年本部门行政单位（含参照公务员法管理事业单位）使用一般公共财政预算财政拨款安排的基本支出中日常公共经费支出</w:t>
      </w:r>
      <w:r>
        <w:rPr>
          <w:rFonts w:ascii="仿宋_GB2312" w:eastAsia="仿宋_GB2312" w:hAnsi="Times New Roman" w:cs="Times New Roman" w:hint="eastAsia"/>
          <w:kern w:val="2"/>
          <w:sz w:val="32"/>
          <w:szCs w:val="32"/>
        </w:rPr>
        <w:t>0.00</w:t>
      </w:r>
      <w:r>
        <w:rPr>
          <w:rFonts w:ascii="仿宋_GB2312" w:eastAsia="仿宋_GB2312" w:hAnsi="Times New Roman" w:cs="Times New Roman" w:hint="eastAsia"/>
          <w:kern w:val="2"/>
          <w:sz w:val="32"/>
          <w:szCs w:val="32"/>
        </w:rPr>
        <w:t>万元，比</w:t>
      </w:r>
      <w:r>
        <w:rPr>
          <w:rFonts w:ascii="仿宋_GB2312" w:eastAsia="仿宋_GB2312" w:hAnsi="Times New Roman" w:cs="Times New Roman" w:hint="eastAsia"/>
          <w:kern w:val="2"/>
          <w:sz w:val="32"/>
          <w:szCs w:val="32"/>
        </w:rPr>
        <w:t>201</w:t>
      </w:r>
      <w:r>
        <w:rPr>
          <w:rFonts w:ascii="仿宋_GB2312" w:eastAsia="仿宋_GB2312" w:hAnsi="Times New Roman" w:cs="Times New Roman" w:hint="eastAsia"/>
          <w:kern w:val="2"/>
          <w:sz w:val="32"/>
          <w:szCs w:val="32"/>
        </w:rPr>
        <w:t>8</w:t>
      </w:r>
      <w:r>
        <w:rPr>
          <w:rFonts w:ascii="仿宋_GB2312" w:eastAsia="仿宋_GB2312" w:hAnsi="Times New Roman" w:cs="Times New Roman" w:hint="eastAsia"/>
          <w:kern w:val="2"/>
          <w:sz w:val="32"/>
          <w:szCs w:val="32"/>
        </w:rPr>
        <w:t>年增加（减少）</w:t>
      </w:r>
      <w:r>
        <w:rPr>
          <w:rFonts w:ascii="仿宋_GB2312" w:eastAsia="仿宋_GB2312" w:hAnsi="Times New Roman" w:cs="Times New Roman" w:hint="eastAsia"/>
          <w:kern w:val="2"/>
          <w:sz w:val="32"/>
          <w:szCs w:val="32"/>
        </w:rPr>
        <w:t>0.00</w:t>
      </w:r>
      <w:r>
        <w:rPr>
          <w:rFonts w:ascii="仿宋_GB2312" w:eastAsia="仿宋_GB2312" w:hAnsi="Times New Roman" w:cs="Times New Roman" w:hint="eastAsia"/>
          <w:kern w:val="2"/>
          <w:sz w:val="32"/>
          <w:szCs w:val="32"/>
        </w:rPr>
        <w:t>万元，增加（减少）</w:t>
      </w:r>
      <w:r>
        <w:rPr>
          <w:rFonts w:ascii="仿宋_GB2312" w:eastAsia="仿宋_GB2312" w:hAnsi="Times New Roman" w:cs="Times New Roman" w:hint="eastAsia"/>
          <w:kern w:val="2"/>
          <w:sz w:val="32"/>
          <w:szCs w:val="32"/>
        </w:rPr>
        <w:t>0.00%</w:t>
      </w:r>
      <w:r>
        <w:rPr>
          <w:rFonts w:ascii="仿宋_GB2312" w:eastAsia="仿宋_GB2312" w:hAnsi="Times New Roman" w:cs="Times New Roman" w:hint="eastAsia"/>
          <w:kern w:val="2"/>
          <w:sz w:val="32"/>
          <w:szCs w:val="32"/>
        </w:rPr>
        <w:t>。</w:t>
      </w:r>
    </w:p>
    <w:p w:rsidR="00000000" w:rsidRDefault="00904AD2">
      <w:pPr>
        <w:numPr>
          <w:ilvl w:val="0"/>
          <w:numId w:val="1"/>
        </w:numPr>
        <w:tabs>
          <w:tab w:val="center" w:pos="6979"/>
        </w:tabs>
        <w:spacing w:line="60" w:lineRule="auto"/>
        <w:ind w:firstLineChars="196" w:firstLine="630"/>
        <w:rPr>
          <w:rFonts w:ascii="仿宋_GB2312" w:eastAsia="仿宋_GB2312"/>
          <w:b/>
          <w:sz w:val="32"/>
          <w:szCs w:val="32"/>
        </w:rPr>
      </w:pPr>
      <w:r>
        <w:rPr>
          <w:rFonts w:ascii="仿宋_GB2312" w:eastAsia="仿宋_GB2312" w:hint="eastAsia"/>
          <w:b/>
          <w:sz w:val="32"/>
          <w:szCs w:val="32"/>
        </w:rPr>
        <w:t>2019</w:t>
      </w:r>
      <w:r>
        <w:rPr>
          <w:rFonts w:ascii="仿宋_GB2312" w:eastAsia="仿宋_GB2312" w:hint="eastAsia"/>
          <w:b/>
          <w:sz w:val="32"/>
          <w:szCs w:val="32"/>
        </w:rPr>
        <w:t>年度政府采购支出情况</w:t>
      </w:r>
    </w:p>
    <w:p w:rsidR="00000000" w:rsidRDefault="00904AD2">
      <w:pPr>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年政府采购支出总额</w:t>
      </w: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786</w:t>
      </w:r>
      <w:r>
        <w:rPr>
          <w:rFonts w:ascii="仿宋_GB2312" w:eastAsia="仿宋_GB2312"/>
          <w:sz w:val="32"/>
          <w:szCs w:val="32"/>
        </w:rPr>
        <w:t>.</w:t>
      </w:r>
      <w:r>
        <w:rPr>
          <w:rFonts w:ascii="仿宋_GB2312" w:eastAsia="仿宋_GB2312" w:hint="eastAsia"/>
          <w:sz w:val="32"/>
          <w:szCs w:val="32"/>
        </w:rPr>
        <w:t>98</w:t>
      </w:r>
      <w:r>
        <w:rPr>
          <w:rFonts w:ascii="仿宋_GB2312" w:eastAsia="仿宋_GB2312"/>
          <w:sz w:val="32"/>
          <w:szCs w:val="32"/>
        </w:rPr>
        <w:t>万元。授予中小企业合同金额</w:t>
      </w:r>
      <w:r>
        <w:rPr>
          <w:rFonts w:ascii="仿宋_GB2312" w:eastAsia="仿宋_GB2312" w:hint="eastAsia"/>
          <w:sz w:val="32"/>
          <w:szCs w:val="32"/>
        </w:rPr>
        <w:t>2</w:t>
      </w:r>
      <w:r>
        <w:rPr>
          <w:rFonts w:ascii="仿宋_GB2312" w:eastAsia="仿宋_GB2312" w:hint="eastAsia"/>
          <w:sz w:val="32"/>
          <w:szCs w:val="32"/>
        </w:rPr>
        <w:t>625</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9</w:t>
      </w:r>
      <w:r>
        <w:rPr>
          <w:rFonts w:ascii="仿宋_GB2312" w:eastAsia="仿宋_GB2312"/>
          <w:sz w:val="32"/>
          <w:szCs w:val="32"/>
        </w:rPr>
        <w:t>万元，占政府采购支出总额的</w:t>
      </w:r>
      <w:r>
        <w:rPr>
          <w:rFonts w:ascii="仿宋_GB2312" w:eastAsia="仿宋_GB2312" w:hint="eastAsia"/>
          <w:sz w:val="32"/>
          <w:szCs w:val="32"/>
        </w:rPr>
        <w:t>69.32</w:t>
      </w:r>
      <w:r>
        <w:rPr>
          <w:rFonts w:ascii="仿宋_GB2312" w:eastAsia="仿宋_GB2312"/>
          <w:sz w:val="32"/>
          <w:szCs w:val="32"/>
        </w:rPr>
        <w:t>%</w:t>
      </w:r>
      <w:r>
        <w:rPr>
          <w:rFonts w:ascii="仿宋_GB2312" w:eastAsia="仿宋_GB2312"/>
          <w:sz w:val="32"/>
          <w:szCs w:val="32"/>
        </w:rPr>
        <w:t>。</w:t>
      </w:r>
    </w:p>
    <w:p w:rsidR="00000000" w:rsidRDefault="00904AD2">
      <w:pPr>
        <w:numPr>
          <w:ilvl w:val="0"/>
          <w:numId w:val="1"/>
        </w:numPr>
        <w:tabs>
          <w:tab w:val="center" w:pos="6979"/>
        </w:tabs>
        <w:spacing w:line="60" w:lineRule="auto"/>
        <w:ind w:firstLineChars="196" w:firstLine="630"/>
        <w:rPr>
          <w:rFonts w:ascii="仿宋_GB2312" w:eastAsia="仿宋_GB2312"/>
          <w:b/>
          <w:sz w:val="32"/>
          <w:szCs w:val="32"/>
        </w:rPr>
      </w:pPr>
      <w:r>
        <w:rPr>
          <w:rFonts w:ascii="仿宋_GB2312" w:eastAsia="仿宋_GB2312" w:hint="eastAsia"/>
          <w:b/>
          <w:sz w:val="32"/>
          <w:szCs w:val="32"/>
        </w:rPr>
        <w:t>2019</w:t>
      </w:r>
      <w:r>
        <w:rPr>
          <w:rFonts w:ascii="仿宋_GB2312" w:eastAsia="仿宋_GB2312" w:hint="eastAsia"/>
          <w:b/>
          <w:sz w:val="32"/>
          <w:szCs w:val="32"/>
        </w:rPr>
        <w:t>年度国有资产占用情况</w:t>
      </w:r>
    </w:p>
    <w:p w:rsidR="00000000" w:rsidRDefault="00904AD2">
      <w:pPr>
        <w:ind w:firstLineChars="200" w:firstLine="64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sz w:val="32"/>
          <w:szCs w:val="32"/>
        </w:rPr>
        <w:t>固定资产总额</w:t>
      </w:r>
      <w:r>
        <w:rPr>
          <w:rFonts w:ascii="仿宋_GB2312" w:eastAsia="仿宋_GB2312"/>
          <w:sz w:val="32"/>
          <w:szCs w:val="32"/>
        </w:rPr>
        <w:t>13,</w:t>
      </w:r>
      <w:r>
        <w:rPr>
          <w:rFonts w:ascii="仿宋_GB2312" w:eastAsia="仿宋_GB2312" w:hint="eastAsia"/>
          <w:sz w:val="32"/>
          <w:szCs w:val="32"/>
        </w:rPr>
        <w:t>976</w:t>
      </w:r>
      <w:r>
        <w:rPr>
          <w:rFonts w:ascii="仿宋_GB2312" w:eastAsia="仿宋_GB2312"/>
          <w:sz w:val="32"/>
          <w:szCs w:val="32"/>
        </w:rPr>
        <w:t>.</w:t>
      </w:r>
      <w:r>
        <w:rPr>
          <w:rFonts w:ascii="仿宋_GB2312" w:eastAsia="仿宋_GB2312" w:hint="eastAsia"/>
          <w:sz w:val="32"/>
          <w:szCs w:val="32"/>
        </w:rPr>
        <w:t>58</w:t>
      </w:r>
      <w:r>
        <w:rPr>
          <w:rFonts w:ascii="仿宋_GB2312" w:eastAsia="仿宋_GB2312"/>
          <w:sz w:val="32"/>
          <w:szCs w:val="32"/>
        </w:rPr>
        <w:t>万元，其中：车辆</w:t>
      </w:r>
      <w:r>
        <w:rPr>
          <w:rFonts w:ascii="仿宋_GB2312" w:eastAsia="仿宋_GB2312" w:hint="eastAsia"/>
          <w:sz w:val="32"/>
          <w:szCs w:val="32"/>
        </w:rPr>
        <w:t>11</w:t>
      </w:r>
      <w:r>
        <w:rPr>
          <w:rFonts w:ascii="仿宋_GB2312" w:eastAsia="仿宋_GB2312"/>
          <w:sz w:val="32"/>
          <w:szCs w:val="32"/>
        </w:rPr>
        <w:t>辆，</w:t>
      </w:r>
      <w:r>
        <w:rPr>
          <w:rFonts w:ascii="仿宋_GB2312" w:eastAsia="仿宋_GB2312" w:hint="eastAsia"/>
          <w:sz w:val="32"/>
          <w:szCs w:val="32"/>
        </w:rPr>
        <w:t>202.33</w:t>
      </w:r>
      <w:r>
        <w:rPr>
          <w:rFonts w:ascii="仿宋_GB2312" w:eastAsia="仿宋_GB2312"/>
          <w:sz w:val="32"/>
          <w:szCs w:val="32"/>
        </w:rPr>
        <w:t>万元；单价</w:t>
      </w:r>
      <w:r>
        <w:rPr>
          <w:rFonts w:ascii="仿宋_GB2312" w:eastAsia="仿宋_GB2312"/>
          <w:sz w:val="32"/>
          <w:szCs w:val="32"/>
        </w:rPr>
        <w:t>50</w:t>
      </w:r>
      <w:r>
        <w:rPr>
          <w:rFonts w:ascii="仿宋_GB2312" w:eastAsia="仿宋_GB2312"/>
          <w:sz w:val="32"/>
          <w:szCs w:val="32"/>
        </w:rPr>
        <w:t>万元以上的通用设备</w:t>
      </w:r>
      <w:r>
        <w:rPr>
          <w:rFonts w:ascii="仿宋_GB2312" w:eastAsia="仿宋_GB2312"/>
          <w:sz w:val="32"/>
          <w:szCs w:val="32"/>
        </w:rPr>
        <w:t>2</w:t>
      </w:r>
      <w:r>
        <w:rPr>
          <w:rFonts w:ascii="仿宋_GB2312" w:eastAsia="仿宋_GB2312"/>
          <w:sz w:val="32"/>
          <w:szCs w:val="32"/>
        </w:rPr>
        <w:t>台（套），</w:t>
      </w:r>
      <w:r>
        <w:rPr>
          <w:rFonts w:ascii="仿宋_GB2312" w:eastAsia="仿宋_GB2312"/>
          <w:sz w:val="32"/>
          <w:szCs w:val="32"/>
        </w:rPr>
        <w:t>1,260.30</w:t>
      </w:r>
      <w:r>
        <w:rPr>
          <w:rFonts w:ascii="仿宋_GB2312" w:eastAsia="仿宋_GB2312"/>
          <w:sz w:val="32"/>
          <w:szCs w:val="32"/>
        </w:rPr>
        <w:t>万元。</w:t>
      </w:r>
    </w:p>
    <w:p w:rsidR="00000000" w:rsidRDefault="00904AD2">
      <w:pPr>
        <w:numPr>
          <w:ilvl w:val="0"/>
          <w:numId w:val="1"/>
        </w:numPr>
        <w:tabs>
          <w:tab w:val="center" w:pos="6979"/>
        </w:tabs>
        <w:spacing w:line="60" w:lineRule="auto"/>
        <w:ind w:firstLineChars="196" w:firstLine="630"/>
        <w:rPr>
          <w:rFonts w:ascii="仿宋_GB2312" w:eastAsia="仿宋_GB2312"/>
          <w:b/>
          <w:sz w:val="32"/>
          <w:szCs w:val="32"/>
        </w:rPr>
      </w:pPr>
      <w:r>
        <w:rPr>
          <w:rFonts w:ascii="仿宋_GB2312" w:eastAsia="仿宋_GB2312" w:hint="eastAsia"/>
          <w:b/>
          <w:sz w:val="32"/>
          <w:szCs w:val="32"/>
        </w:rPr>
        <w:t>2019</w:t>
      </w:r>
      <w:r>
        <w:rPr>
          <w:rFonts w:ascii="仿宋_GB2312" w:eastAsia="仿宋_GB2312" w:hint="eastAsia"/>
          <w:b/>
          <w:sz w:val="32"/>
          <w:szCs w:val="32"/>
        </w:rPr>
        <w:t>年国有资本经营预算财政拨款收支情况</w:t>
      </w:r>
    </w:p>
    <w:p w:rsidR="00000000" w:rsidRDefault="00904AD2">
      <w:pPr>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年度本单位无国有资本经营预算财政拨款收入及支出。</w:t>
      </w:r>
    </w:p>
    <w:p w:rsidR="00000000" w:rsidRDefault="00904AD2">
      <w:pPr>
        <w:numPr>
          <w:ilvl w:val="0"/>
          <w:numId w:val="1"/>
        </w:numPr>
        <w:tabs>
          <w:tab w:val="center" w:pos="6979"/>
        </w:tabs>
        <w:spacing w:line="60" w:lineRule="auto"/>
        <w:ind w:firstLineChars="196" w:firstLine="630"/>
        <w:rPr>
          <w:rFonts w:ascii="仿宋_GB2312" w:eastAsia="仿宋_GB2312"/>
          <w:b/>
          <w:sz w:val="32"/>
          <w:szCs w:val="32"/>
        </w:rPr>
      </w:pPr>
      <w:r>
        <w:rPr>
          <w:rFonts w:ascii="仿宋_GB2312" w:eastAsia="仿宋_GB2312" w:hint="eastAsia"/>
          <w:b/>
          <w:sz w:val="32"/>
          <w:szCs w:val="32"/>
        </w:rPr>
        <w:t>2019</w:t>
      </w:r>
      <w:r>
        <w:rPr>
          <w:rFonts w:ascii="仿宋_GB2312" w:eastAsia="仿宋_GB2312" w:hint="eastAsia"/>
          <w:b/>
          <w:sz w:val="32"/>
          <w:szCs w:val="32"/>
        </w:rPr>
        <w:t>年度政府购买服务支出情况</w:t>
      </w:r>
    </w:p>
    <w:p w:rsidR="00000000" w:rsidRDefault="00904AD2">
      <w:pPr>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w:t>
      </w:r>
      <w:r>
        <w:rPr>
          <w:rFonts w:ascii="仿宋_GB2312" w:eastAsia="仿宋_GB2312" w:hint="eastAsia"/>
          <w:sz w:val="32"/>
          <w:szCs w:val="32"/>
        </w:rPr>
        <w:t>，我园不涉及政府购买服务</w:t>
      </w:r>
      <w:r>
        <w:rPr>
          <w:rFonts w:ascii="仿宋_GB2312" w:eastAsia="仿宋_GB2312"/>
          <w:sz w:val="32"/>
          <w:szCs w:val="32"/>
        </w:rPr>
        <w:t>。</w:t>
      </w:r>
    </w:p>
    <w:p w:rsidR="00000000" w:rsidRDefault="00904AD2">
      <w:pPr>
        <w:numPr>
          <w:ilvl w:val="0"/>
          <w:numId w:val="1"/>
        </w:numPr>
        <w:tabs>
          <w:tab w:val="center" w:pos="6979"/>
        </w:tabs>
        <w:spacing w:line="60" w:lineRule="auto"/>
        <w:ind w:firstLineChars="196" w:firstLine="630"/>
        <w:rPr>
          <w:rFonts w:ascii="仿宋_GB2312" w:eastAsia="仿宋_GB2312"/>
          <w:b/>
          <w:sz w:val="32"/>
          <w:szCs w:val="32"/>
        </w:rPr>
      </w:pPr>
      <w:r>
        <w:rPr>
          <w:rFonts w:ascii="仿宋_GB2312" w:eastAsia="仿宋_GB2312" w:hint="eastAsia"/>
          <w:b/>
          <w:sz w:val="32"/>
          <w:szCs w:val="32"/>
        </w:rPr>
        <w:t>2019</w:t>
      </w:r>
      <w:r>
        <w:rPr>
          <w:rFonts w:ascii="仿宋_GB2312" w:eastAsia="仿宋_GB2312" w:hint="eastAsia"/>
          <w:b/>
          <w:sz w:val="32"/>
          <w:szCs w:val="32"/>
        </w:rPr>
        <w:t>年项目支出绩效自评报告情况</w:t>
      </w:r>
    </w:p>
    <w:p w:rsidR="00000000" w:rsidRDefault="00904AD2">
      <w:pPr>
        <w:tabs>
          <w:tab w:val="center" w:pos="6979"/>
        </w:tabs>
        <w:spacing w:line="60" w:lineRule="auto"/>
        <w:ind w:firstLineChars="200" w:firstLine="640"/>
        <w:rPr>
          <w:rFonts w:ascii="仿宋_GB2312" w:eastAsia="仿宋_GB2312" w:hint="eastAsia"/>
          <w:b/>
          <w:sz w:val="32"/>
          <w:szCs w:val="32"/>
        </w:rPr>
      </w:pPr>
      <w:r>
        <w:rPr>
          <w:rFonts w:ascii="仿宋_GB2312" w:eastAsia="仿宋_GB2312" w:hint="eastAsia"/>
          <w:sz w:val="32"/>
          <w:szCs w:val="32"/>
        </w:rPr>
        <w:t>本部门对</w:t>
      </w:r>
      <w:r>
        <w:rPr>
          <w:rFonts w:ascii="仿宋_GB2312" w:eastAsia="仿宋_GB2312" w:hint="eastAsia"/>
          <w:sz w:val="32"/>
          <w:szCs w:val="32"/>
        </w:rPr>
        <w:t>2019</w:t>
      </w:r>
      <w:r>
        <w:rPr>
          <w:rFonts w:ascii="仿宋_GB2312" w:eastAsia="仿宋_GB2312" w:hint="eastAsia"/>
          <w:sz w:val="32"/>
          <w:szCs w:val="32"/>
        </w:rPr>
        <w:t>年度圆明园湖面补水及水环境保护专项项目实施绩效自评，涉及金额</w:t>
      </w:r>
      <w:r>
        <w:rPr>
          <w:rFonts w:ascii="仿宋_GB2312" w:eastAsia="仿宋_GB2312" w:hint="eastAsia"/>
          <w:sz w:val="32"/>
          <w:szCs w:val="32"/>
        </w:rPr>
        <w:t>1254.72</w:t>
      </w:r>
      <w:r>
        <w:rPr>
          <w:rFonts w:ascii="仿宋_GB2312" w:eastAsia="仿宋_GB2312" w:hint="eastAsia"/>
          <w:sz w:val="32"/>
          <w:szCs w:val="32"/>
        </w:rPr>
        <w:t>万元</w:t>
      </w:r>
      <w:r>
        <w:rPr>
          <w:rFonts w:ascii="仿宋_GB2312" w:eastAsia="仿宋_GB2312" w:hint="eastAsia"/>
          <w:sz w:val="32"/>
          <w:szCs w:val="32"/>
        </w:rPr>
        <w:t>。自评结果为优秀。</w:t>
      </w:r>
    </w:p>
    <w:p w:rsidR="00000000" w:rsidRDefault="00904AD2">
      <w:pPr>
        <w:numPr>
          <w:ilvl w:val="0"/>
          <w:numId w:val="1"/>
        </w:numPr>
        <w:tabs>
          <w:tab w:val="center" w:pos="6979"/>
        </w:tabs>
        <w:spacing w:line="60" w:lineRule="auto"/>
        <w:ind w:firstLineChars="196" w:firstLine="630"/>
        <w:rPr>
          <w:rFonts w:ascii="仿宋_GB2312" w:eastAsia="仿宋_GB2312"/>
          <w:b/>
          <w:sz w:val="32"/>
          <w:szCs w:val="32"/>
        </w:rPr>
      </w:pPr>
      <w:r>
        <w:rPr>
          <w:rFonts w:ascii="仿宋_GB2312" w:eastAsia="仿宋_GB2312" w:hint="eastAsia"/>
          <w:b/>
          <w:sz w:val="32"/>
          <w:szCs w:val="32"/>
        </w:rPr>
        <w:lastRenderedPageBreak/>
        <w:t>名词解释</w:t>
      </w:r>
    </w:p>
    <w:p w:rsidR="00000000" w:rsidRDefault="00904AD2">
      <w:pPr>
        <w:rPr>
          <w:rFonts w:ascii="仿宋_GB2312" w:eastAsia="仿宋_GB2312"/>
          <w:sz w:val="32"/>
          <w:szCs w:val="32"/>
        </w:rPr>
      </w:pPr>
      <w:r>
        <w:rPr>
          <w:rFonts w:ascii="仿宋_GB2312" w:eastAsia="仿宋_GB2312"/>
          <w:sz w:val="32"/>
          <w:szCs w:val="32"/>
        </w:rPr>
        <w:t>1.</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经费：是指本部门通过财政拨款资金安排的因公出国（境）费、公务用车购置及运行费和公务接待费。其中，因</w:t>
      </w:r>
      <w:r>
        <w:rPr>
          <w:rFonts w:ascii="仿宋_GB2312" w:eastAsia="仿宋_GB2312"/>
          <w:sz w:val="32"/>
          <w:szCs w:val="32"/>
        </w:rPr>
        <w:t>公出国（境）费指单位工作人员公务出国（境）的住宿费、旅费、伙食补助费、培训费等支出；公务用车购置及运行费指单位公务用车购置费及租用费、燃料费、维修费、过路过桥费、保险费等支出；公务接待费指单位按规定开支的各类公务接待（含外宾接待）支出。</w:t>
      </w:r>
    </w:p>
    <w:p w:rsidR="00000000" w:rsidRDefault="00904AD2">
      <w:pPr>
        <w:rPr>
          <w:rFonts w:ascii="仿宋_GB2312" w:eastAsia="仿宋_GB2312"/>
          <w:sz w:val="32"/>
          <w:szCs w:val="32"/>
        </w:rPr>
      </w:pPr>
      <w:r>
        <w:rPr>
          <w:rFonts w:ascii="仿宋_GB2312" w:eastAsia="仿宋_GB2312"/>
          <w:sz w:val="32"/>
          <w:szCs w:val="32"/>
        </w:rPr>
        <w:t>2.</w:t>
      </w:r>
      <w:r>
        <w:rPr>
          <w:rFonts w:ascii="仿宋_GB2312" w:eastAsia="仿宋_GB2312"/>
          <w:sz w:val="32"/>
          <w:szCs w:val="32"/>
        </w:rPr>
        <w:t>机关运行经费：机关运行经费支出，是指为行政单位和参照公务员法管理事业单位使用的一般公共预算财政拨款安排的基本支出中的公用经费，包括办公及印刷费、邮电费、差旅费、会议费、福利费、日常维修费、专用材料及一般设备购置费、办公用房水电费、办公用房取暖费、办公用房物业管理费、公务</w:t>
      </w:r>
      <w:r>
        <w:rPr>
          <w:rFonts w:ascii="仿宋_GB2312" w:eastAsia="仿宋_GB2312"/>
          <w:sz w:val="32"/>
          <w:szCs w:val="32"/>
        </w:rPr>
        <w:t>用车运行维护费以及其他费用。</w:t>
      </w:r>
    </w:p>
    <w:p w:rsidR="00000000" w:rsidRDefault="00904AD2">
      <w:pPr>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hyperlink r:id="rId7" w:tgtFrame="_blank" w:history="1">
        <w:r>
          <w:rPr>
            <w:rFonts w:ascii="仿宋_GB2312" w:eastAsia="仿宋_GB2312"/>
            <w:sz w:val="32"/>
            <w:szCs w:val="32"/>
          </w:rPr>
          <w:t>国家考古遗址公园</w:t>
        </w:r>
      </w:hyperlink>
      <w:r>
        <w:rPr>
          <w:rFonts w:ascii="仿宋_GB2312" w:eastAsia="仿宋_GB2312" w:hint="eastAsia"/>
          <w:sz w:val="32"/>
          <w:szCs w:val="32"/>
        </w:rPr>
        <w:t>：</w:t>
      </w:r>
      <w:hyperlink r:id="rId8" w:tgtFrame="_blank" w:history="1">
        <w:r>
          <w:rPr>
            <w:rFonts w:ascii="仿宋_GB2312" w:eastAsia="仿宋_GB2312"/>
            <w:sz w:val="32"/>
            <w:szCs w:val="32"/>
          </w:rPr>
          <w:t>国家考古遗址公园</w:t>
        </w:r>
      </w:hyperlink>
      <w:r>
        <w:rPr>
          <w:rFonts w:ascii="仿宋_GB2312" w:eastAsia="仿宋_GB2312"/>
          <w:sz w:val="32"/>
          <w:szCs w:val="32"/>
        </w:rPr>
        <w:t>，是指以重要考古遗址及其背景环境为主体，具有科研、教育、游憩等功能，在考古遗址保护和展示方面具有全国性示范意义的特定公共空间。</w:t>
      </w:r>
      <w:hyperlink r:id="rId9" w:tgtFrame="_blank" w:history="1">
        <w:r>
          <w:rPr>
            <w:rFonts w:ascii="仿宋_GB2312" w:eastAsia="仿宋_GB2312"/>
            <w:sz w:val="32"/>
            <w:szCs w:val="32"/>
          </w:rPr>
          <w:t>国家文物局</w:t>
        </w:r>
      </w:hyperlink>
      <w:r>
        <w:rPr>
          <w:rFonts w:ascii="仿宋_GB2312" w:eastAsia="仿宋_GB2312"/>
          <w:sz w:val="32"/>
          <w:szCs w:val="32"/>
        </w:rPr>
        <w:t>负责国家考古遗址公园的评定管理工作，先经该国</w:t>
      </w:r>
      <w:r>
        <w:rPr>
          <w:rFonts w:ascii="仿宋_GB2312" w:eastAsia="仿宋_GB2312"/>
          <w:sz w:val="32"/>
          <w:szCs w:val="32"/>
        </w:rPr>
        <w:t>家局批准立项，</w:t>
      </w:r>
      <w:hyperlink r:id="rId10" w:tgtFrame="_blank" w:history="1">
        <w:r>
          <w:rPr>
            <w:rFonts w:ascii="仿宋_GB2312" w:eastAsia="仿宋_GB2312"/>
            <w:sz w:val="32"/>
            <w:szCs w:val="32"/>
          </w:rPr>
          <w:t>考古遗址公园</w:t>
        </w:r>
      </w:hyperlink>
      <w:r>
        <w:rPr>
          <w:rFonts w:ascii="仿宋_GB2312" w:eastAsia="仿宋_GB2312"/>
          <w:sz w:val="32"/>
          <w:szCs w:val="32"/>
        </w:rPr>
        <w:t>符合若干条件且已初具规模后再开展评定工作。评定合格者，由国家文物局授予</w:t>
      </w:r>
      <w:r>
        <w:rPr>
          <w:rFonts w:ascii="仿宋_GB2312" w:eastAsia="仿宋_GB2312"/>
          <w:sz w:val="32"/>
          <w:szCs w:val="32"/>
        </w:rPr>
        <w:t>“</w:t>
      </w:r>
      <w:r>
        <w:rPr>
          <w:rFonts w:ascii="仿宋_GB2312" w:eastAsia="仿宋_GB2312"/>
          <w:sz w:val="32"/>
          <w:szCs w:val="32"/>
        </w:rPr>
        <w:t>国家考古遗址公园</w:t>
      </w:r>
      <w:r>
        <w:rPr>
          <w:rFonts w:ascii="仿宋_GB2312" w:eastAsia="仿宋_GB2312"/>
          <w:sz w:val="32"/>
          <w:szCs w:val="32"/>
        </w:rPr>
        <w:t>”</w:t>
      </w:r>
      <w:r>
        <w:rPr>
          <w:rFonts w:ascii="仿宋_GB2312" w:eastAsia="仿宋_GB2312"/>
          <w:sz w:val="32"/>
          <w:szCs w:val="32"/>
        </w:rPr>
        <w:t>称号，并向社会公布。</w:t>
      </w:r>
    </w:p>
    <w:p w:rsidR="00000000" w:rsidRDefault="00904AD2">
      <w:pPr>
        <w:rPr>
          <w:rFonts w:ascii="仿宋_GB2312" w:eastAsia="仿宋_GB2312"/>
          <w:sz w:val="32"/>
          <w:szCs w:val="32"/>
        </w:rPr>
      </w:pPr>
    </w:p>
    <w:p w:rsidR="00000000" w:rsidRDefault="00904AD2">
      <w:pPr>
        <w:rPr>
          <w:rFonts w:ascii="仿宋_GB2312" w:eastAsia="仿宋_GB2312"/>
          <w:sz w:val="32"/>
          <w:szCs w:val="32"/>
        </w:rPr>
      </w:pPr>
      <w:r>
        <w:rPr>
          <w:rFonts w:ascii="仿宋_GB2312" w:eastAsia="仿宋_GB2312" w:hint="eastAsia"/>
          <w:sz w:val="32"/>
          <w:szCs w:val="32"/>
        </w:rPr>
        <w:lastRenderedPageBreak/>
        <w:t>4. 4A</w:t>
      </w:r>
      <w:r>
        <w:rPr>
          <w:rFonts w:ascii="仿宋_GB2312" w:eastAsia="仿宋_GB2312" w:hint="eastAsia"/>
          <w:sz w:val="32"/>
          <w:szCs w:val="32"/>
        </w:rPr>
        <w:t>景区：</w:t>
      </w:r>
      <w:r>
        <w:rPr>
          <w:rFonts w:ascii="仿宋_GB2312" w:eastAsia="仿宋_GB2312"/>
          <w:sz w:val="32"/>
          <w:szCs w:val="32"/>
        </w:rPr>
        <w:t>国家</w:t>
      </w:r>
      <w:r>
        <w:rPr>
          <w:rFonts w:ascii="仿宋_GB2312" w:eastAsia="仿宋_GB2312"/>
          <w:sz w:val="32"/>
          <w:szCs w:val="32"/>
        </w:rPr>
        <w:t>AAAA</w:t>
      </w:r>
      <w:r>
        <w:rPr>
          <w:rFonts w:ascii="仿宋_GB2312" w:eastAsia="仿宋_GB2312"/>
          <w:sz w:val="32"/>
          <w:szCs w:val="32"/>
        </w:rPr>
        <w:t>级旅游景区，指的是依据中华人民共和国旅游景区质量等级划分的景区级别，共分为五级，从高到低依次为</w:t>
      </w:r>
      <w:r>
        <w:rPr>
          <w:rFonts w:ascii="仿宋_GB2312" w:eastAsia="仿宋_GB2312"/>
          <w:sz w:val="32"/>
          <w:szCs w:val="32"/>
        </w:rPr>
        <w:t>AAAAA</w:t>
      </w:r>
      <w:r>
        <w:rPr>
          <w:rFonts w:ascii="仿宋_GB2312" w:eastAsia="仿宋_GB2312"/>
          <w:sz w:val="32"/>
          <w:szCs w:val="32"/>
        </w:rPr>
        <w:t>、</w:t>
      </w:r>
      <w:r>
        <w:rPr>
          <w:rFonts w:ascii="仿宋_GB2312" w:eastAsia="仿宋_GB2312"/>
          <w:sz w:val="32"/>
          <w:szCs w:val="32"/>
        </w:rPr>
        <w:t>AAAA</w:t>
      </w:r>
      <w:r>
        <w:rPr>
          <w:rFonts w:ascii="仿宋_GB2312" w:eastAsia="仿宋_GB2312"/>
          <w:sz w:val="32"/>
          <w:szCs w:val="32"/>
        </w:rPr>
        <w:t>、</w:t>
      </w:r>
      <w:r>
        <w:rPr>
          <w:rFonts w:ascii="仿宋_GB2312" w:eastAsia="仿宋_GB2312"/>
          <w:sz w:val="32"/>
          <w:szCs w:val="32"/>
        </w:rPr>
        <w:t>AAA</w:t>
      </w:r>
      <w:r>
        <w:rPr>
          <w:rFonts w:ascii="仿宋_GB2312" w:eastAsia="仿宋_GB2312"/>
          <w:sz w:val="32"/>
          <w:szCs w:val="32"/>
        </w:rPr>
        <w:t>、</w:t>
      </w:r>
      <w:r>
        <w:rPr>
          <w:rFonts w:ascii="仿宋_GB2312" w:eastAsia="仿宋_GB2312"/>
          <w:sz w:val="32"/>
          <w:szCs w:val="32"/>
        </w:rPr>
        <w:t>AA</w:t>
      </w:r>
      <w:r>
        <w:rPr>
          <w:rFonts w:ascii="仿宋_GB2312" w:eastAsia="仿宋_GB2312"/>
          <w:sz w:val="32"/>
          <w:szCs w:val="32"/>
        </w:rPr>
        <w:t>、</w:t>
      </w:r>
      <w:r>
        <w:rPr>
          <w:rFonts w:ascii="仿宋_GB2312" w:eastAsia="仿宋_GB2312"/>
          <w:sz w:val="32"/>
          <w:szCs w:val="32"/>
        </w:rPr>
        <w:t>A</w:t>
      </w:r>
      <w:r>
        <w:rPr>
          <w:rFonts w:ascii="仿宋_GB2312" w:eastAsia="仿宋_GB2312"/>
          <w:sz w:val="32"/>
          <w:szCs w:val="32"/>
        </w:rPr>
        <w:t>级旅游景区。</w:t>
      </w:r>
    </w:p>
    <w:p w:rsidR="00000000" w:rsidRDefault="00904AD2">
      <w:pPr>
        <w:rPr>
          <w:rFonts w:ascii="仿宋_GB2312" w:eastAsia="仿宋_GB2312"/>
          <w:sz w:val="32"/>
          <w:szCs w:val="32"/>
        </w:rPr>
      </w:pPr>
    </w:p>
    <w:p w:rsidR="00000000" w:rsidRDefault="00904AD2">
      <w:pPr>
        <w:tabs>
          <w:tab w:val="center" w:pos="6979"/>
        </w:tabs>
        <w:spacing w:line="60" w:lineRule="auto"/>
        <w:rPr>
          <w:rFonts w:ascii="仿宋_GB2312" w:eastAsia="仿宋_GB2312"/>
          <w:b/>
          <w:sz w:val="32"/>
          <w:szCs w:val="32"/>
        </w:rPr>
      </w:pPr>
    </w:p>
    <w:p w:rsidR="00000000" w:rsidRDefault="00904AD2">
      <w:pPr>
        <w:tabs>
          <w:tab w:val="center" w:pos="6979"/>
        </w:tabs>
        <w:spacing w:line="60" w:lineRule="auto"/>
        <w:rPr>
          <w:rFonts w:ascii="仿宋_GB2312" w:eastAsia="仿宋_GB2312"/>
          <w:b/>
          <w:sz w:val="32"/>
          <w:szCs w:val="32"/>
        </w:rPr>
      </w:pPr>
    </w:p>
    <w:p w:rsidR="00000000" w:rsidRDefault="00904AD2">
      <w:pPr>
        <w:tabs>
          <w:tab w:val="center" w:pos="6979"/>
        </w:tabs>
        <w:spacing w:line="60" w:lineRule="auto"/>
        <w:rPr>
          <w:rFonts w:ascii="仿宋_GB2312" w:eastAsia="仿宋_GB2312" w:hint="eastAsia"/>
          <w:b/>
          <w:sz w:val="32"/>
          <w:szCs w:val="32"/>
        </w:rPr>
      </w:pPr>
    </w:p>
    <w:p w:rsidR="00000000" w:rsidRDefault="00904AD2">
      <w:pPr>
        <w:tabs>
          <w:tab w:val="center" w:pos="6979"/>
        </w:tabs>
        <w:spacing w:line="60" w:lineRule="auto"/>
        <w:rPr>
          <w:rFonts w:ascii="仿宋_GB2312" w:eastAsia="仿宋_GB2312" w:hint="eastAsia"/>
          <w:b/>
          <w:sz w:val="32"/>
          <w:szCs w:val="32"/>
        </w:rPr>
      </w:pPr>
    </w:p>
    <w:p w:rsidR="00904AD2" w:rsidRDefault="00904AD2">
      <w:pPr>
        <w:rPr>
          <w:rFonts w:ascii="仿宋_GB2312" w:eastAsia="仿宋_GB2312"/>
          <w:sz w:val="32"/>
          <w:szCs w:val="32"/>
        </w:rPr>
      </w:pPr>
    </w:p>
    <w:sectPr w:rsidR="00904AD2">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AD2" w:rsidRDefault="00904AD2">
      <w:r>
        <w:separator/>
      </w:r>
    </w:p>
  </w:endnote>
  <w:endnote w:type="continuationSeparator" w:id="1">
    <w:p w:rsidR="00904AD2" w:rsidRDefault="00904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04AD2">
    <w:pPr>
      <w:pStyle w:val="a3"/>
      <w:jc w:val="center"/>
    </w:pPr>
    <w:r>
      <w:fldChar w:fldCharType="begin"/>
    </w:r>
    <w:r>
      <w:instrText>PAGE   \* MERGEFORMAT</w:instrText>
    </w:r>
    <w:r>
      <w:fldChar w:fldCharType="separate"/>
    </w:r>
    <w:r w:rsidR="00BD25C1" w:rsidRPr="00BD25C1">
      <w:rPr>
        <w:noProof/>
        <w:lang w:val="zh-CN"/>
      </w:rPr>
      <w:t>4</w:t>
    </w:r>
    <w:r>
      <w:fldChar w:fldCharType="end"/>
    </w:r>
  </w:p>
  <w:p w:rsidR="00000000" w:rsidRDefault="00904AD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AD2" w:rsidRDefault="00904AD2">
      <w:r>
        <w:separator/>
      </w:r>
    </w:p>
  </w:footnote>
  <w:footnote w:type="continuationSeparator" w:id="1">
    <w:p w:rsidR="00904AD2" w:rsidRDefault="00904A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BA4E"/>
    <w:multiLevelType w:val="singleLevel"/>
    <w:tmpl w:val="095CBA4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06DE"/>
    <w:rsid w:val="00025B8F"/>
    <w:rsid w:val="00065652"/>
    <w:rsid w:val="00092310"/>
    <w:rsid w:val="000B4D94"/>
    <w:rsid w:val="001126F6"/>
    <w:rsid w:val="00121908"/>
    <w:rsid w:val="002351C4"/>
    <w:rsid w:val="002571C8"/>
    <w:rsid w:val="0028255E"/>
    <w:rsid w:val="002C109D"/>
    <w:rsid w:val="00310100"/>
    <w:rsid w:val="00323F20"/>
    <w:rsid w:val="0033130D"/>
    <w:rsid w:val="003613AD"/>
    <w:rsid w:val="003F20AB"/>
    <w:rsid w:val="00441BF4"/>
    <w:rsid w:val="004B0003"/>
    <w:rsid w:val="004D5667"/>
    <w:rsid w:val="00585F1B"/>
    <w:rsid w:val="005A409B"/>
    <w:rsid w:val="00636B52"/>
    <w:rsid w:val="00653151"/>
    <w:rsid w:val="006B3A06"/>
    <w:rsid w:val="00763E72"/>
    <w:rsid w:val="007652E8"/>
    <w:rsid w:val="00773BA6"/>
    <w:rsid w:val="00882055"/>
    <w:rsid w:val="00904AD2"/>
    <w:rsid w:val="009406DE"/>
    <w:rsid w:val="00993BC8"/>
    <w:rsid w:val="009A35C5"/>
    <w:rsid w:val="009B0EAE"/>
    <w:rsid w:val="009D45D7"/>
    <w:rsid w:val="009E172F"/>
    <w:rsid w:val="00AD3293"/>
    <w:rsid w:val="00AE7574"/>
    <w:rsid w:val="00B46EAD"/>
    <w:rsid w:val="00BB15EF"/>
    <w:rsid w:val="00BC7EDA"/>
    <w:rsid w:val="00BD25C1"/>
    <w:rsid w:val="00BF183D"/>
    <w:rsid w:val="00C3109C"/>
    <w:rsid w:val="00D36E1A"/>
    <w:rsid w:val="00D549CF"/>
    <w:rsid w:val="00D55E8D"/>
    <w:rsid w:val="00D56ED2"/>
    <w:rsid w:val="00E82186"/>
    <w:rsid w:val="00EC01CD"/>
    <w:rsid w:val="00F432E6"/>
    <w:rsid w:val="00F47CD7"/>
    <w:rsid w:val="00FA3ABA"/>
    <w:rsid w:val="00FB3296"/>
    <w:rsid w:val="00FC019C"/>
    <w:rsid w:val="0CE41E64"/>
    <w:rsid w:val="0F0065E9"/>
    <w:rsid w:val="43F96188"/>
    <w:rsid w:val="479A080E"/>
    <w:rsid w:val="4A315204"/>
    <w:rsid w:val="4E5642DC"/>
    <w:rsid w:val="54B97501"/>
    <w:rsid w:val="5BD66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2Char">
    <w:name w:val="标题 2 Char"/>
    <w:basedOn w:val="a0"/>
    <w:link w:val="2"/>
    <w:rPr>
      <w:rFonts w:ascii="宋体" w:eastAsia="宋体" w:hAnsi="宋体" w:cs="宋体"/>
      <w:b/>
      <w:bCs/>
      <w:kern w:val="0"/>
      <w:sz w:val="36"/>
      <w:szCs w:val="36"/>
    </w:rPr>
  </w:style>
  <w:style w:type="character" w:customStyle="1" w:styleId="3Char">
    <w:name w:val="标题 3 Char"/>
    <w:basedOn w:val="a0"/>
    <w:link w:val="3"/>
    <w:rPr>
      <w:rFonts w:ascii="宋体" w:eastAsia="宋体" w:hAnsi="宋体" w:cs="宋体"/>
      <w:b/>
      <w:bCs/>
      <w:kern w:val="0"/>
      <w:sz w:val="27"/>
      <w:szCs w:val="27"/>
    </w:rPr>
  </w:style>
  <w:style w:type="character" w:styleId="a5">
    <w:name w:val="Strong"/>
    <w:basedOn w:val="a0"/>
    <w:qFormat/>
    <w:rPr>
      <w:b/>
      <w:bCs/>
    </w:rPr>
  </w:style>
  <w:style w:type="character" w:styleId="a6">
    <w:name w:val="Hyperlink"/>
    <w:basedOn w:val="a0"/>
    <w:unhideWhenUsed/>
    <w:rPr>
      <w:color w:val="0000FF"/>
      <w:u w:val="single"/>
    </w:rPr>
  </w:style>
  <w:style w:type="character" w:styleId="a7">
    <w:name w:val="page number"/>
    <w:basedOn w:val="a0"/>
  </w:style>
  <w:style w:type="character" w:customStyle="1" w:styleId="1Char">
    <w:name w:val="标题 1 Char"/>
    <w:basedOn w:val="a0"/>
    <w:link w:val="1"/>
    <w:rPr>
      <w:rFonts w:ascii="宋体" w:eastAsia="宋体" w:hAnsi="宋体" w:cs="宋体"/>
      <w:b/>
      <w:bCs/>
      <w:kern w:val="36"/>
      <w:sz w:val="48"/>
      <w:szCs w:val="4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nhideWhenUsed/>
    <w:qFormat/>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B%BD%E5%AE%B6%E8%80%83%E5%8F%A4%E9%81%97%E5%9D%80%E5%85%AC%E5%9B%AD/52334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5%9B%BD%E5%AE%B6%E8%80%83%E5%8F%A4%E9%81%97%E5%9D%80%E5%85%AC%E5%9B%AD/523340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aike.baidu.com/item/%E8%80%83%E5%8F%A4%E9%81%97%E5%9D%80%E5%85%AC%E5%9B%AD/1524254" TargetMode="External"/><Relationship Id="rId4" Type="http://schemas.openxmlformats.org/officeDocument/2006/relationships/webSettings" Target="webSettings.xml"/><Relationship Id="rId9" Type="http://schemas.openxmlformats.org/officeDocument/2006/relationships/hyperlink" Target="https://baike.baidu.com/item/%E5%9B%BD%E5%AE%B6%E6%96%87%E7%89%A9%E5%B1%80/1094040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1048</Characters>
  <Application>Microsoft Office Word</Application>
  <DocSecurity>0</DocSecurity>
  <Lines>41</Lines>
  <Paragraphs>44</Paragraphs>
  <ScaleCrop>false</ScaleCrop>
  <Company>Lenovo</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张晓丹</dc:creator>
  <cp:lastModifiedBy>cw000</cp:lastModifiedBy>
  <cp:revision>2</cp:revision>
  <dcterms:created xsi:type="dcterms:W3CDTF">2020-08-14T08:07:00Z</dcterms:created>
  <dcterms:modified xsi:type="dcterms:W3CDTF">2020-08-14T08:07:00Z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