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bookmarkStart w:id="2" w:name="_GoBack"/>
      <w:bookmarkEnd w:id="2"/>
      <w:r>
        <w:rPr>
          <w:rFonts w:hint="eastAsia" w:ascii="黑体" w:hAnsi="黑体" w:eastAsia="黑体"/>
          <w:sz w:val="32"/>
          <w:szCs w:val="32"/>
        </w:rPr>
        <w:t>-4</w:t>
      </w:r>
    </w:p>
    <w:tbl>
      <w:tblPr>
        <w:tblStyle w:val="8"/>
        <w:tblW w:w="9773" w:type="dxa"/>
        <w:jc w:val="center"/>
        <w:tblLayout w:type="fixed"/>
        <w:tblCellMar>
          <w:top w:w="0" w:type="dxa"/>
          <w:left w:w="30" w:type="dxa"/>
          <w:bottom w:w="0" w:type="dxa"/>
          <w:right w:w="30" w:type="dxa"/>
        </w:tblCellMar>
      </w:tblPr>
      <w:tblGrid>
        <w:gridCol w:w="1480"/>
        <w:gridCol w:w="1843"/>
        <w:gridCol w:w="2693"/>
        <w:gridCol w:w="3757"/>
      </w:tblGrid>
      <w:tr>
        <w:tblPrEx>
          <w:tblCellMar>
            <w:top w:w="0" w:type="dxa"/>
            <w:left w:w="30" w:type="dxa"/>
            <w:bottom w:w="0" w:type="dxa"/>
            <w:right w:w="30" w:type="dxa"/>
          </w:tblCellMar>
        </w:tblPrEx>
        <w:trPr>
          <w:trHeight w:val="554" w:hRule="atLeast"/>
          <w:jc w:val="center"/>
        </w:trPr>
        <w:tc>
          <w:tcPr>
            <w:tcW w:w="9773" w:type="dxa"/>
            <w:gridSpan w:val="4"/>
          </w:tcPr>
          <w:p>
            <w:pPr>
              <w:pStyle w:val="2"/>
              <w:jc w:val="center"/>
              <w:rPr>
                <w:rFonts w:ascii="方正小标宋_GBK" w:eastAsia="方正小标宋_GBK"/>
                <w:b w:val="0"/>
                <w:kern w:val="0"/>
                <w:sz w:val="44"/>
                <w:szCs w:val="44"/>
              </w:rPr>
            </w:pPr>
            <w:r>
              <w:rPr>
                <w:rFonts w:hint="eastAsia" w:ascii="方正小标宋_GBK" w:eastAsia="方正小标宋_GBK"/>
                <w:b w:val="0"/>
                <w:kern w:val="0"/>
                <w:sz w:val="44"/>
                <w:szCs w:val="44"/>
              </w:rPr>
              <w:t>部门整体支出绩效目标完成情况对比表</w:t>
            </w:r>
          </w:p>
        </w:tc>
      </w:tr>
      <w:tr>
        <w:tblPrEx>
          <w:tblCellMar>
            <w:top w:w="0" w:type="dxa"/>
            <w:left w:w="30" w:type="dxa"/>
            <w:bottom w:w="0" w:type="dxa"/>
            <w:right w:w="30" w:type="dxa"/>
          </w:tblCellMar>
        </w:tblPrEx>
        <w:trPr>
          <w:trHeight w:val="293" w:hRule="atLeast"/>
          <w:jc w:val="center"/>
        </w:trPr>
        <w:tc>
          <w:tcPr>
            <w:tcW w:w="6016" w:type="dxa"/>
            <w:gridSpan w:val="3"/>
            <w:tcBorders>
              <w:bottom w:val="single" w:color="auto" w:sz="4" w:space="0"/>
            </w:tcBorders>
          </w:tcPr>
          <w:p>
            <w:pPr>
              <w:autoSpaceDE w:val="0"/>
              <w:autoSpaceDN w:val="0"/>
              <w:adjustRightInd w:val="0"/>
              <w:spacing w:line="240" w:lineRule="auto"/>
              <w:ind w:firstLine="0" w:firstLineChars="0"/>
              <w:jc w:val="left"/>
              <w:rPr>
                <w:rFonts w:ascii="宋体" w:hAnsi="Calibri" w:cs="宋体"/>
                <w:color w:val="000000"/>
                <w:kern w:val="0"/>
                <w:sz w:val="21"/>
                <w:szCs w:val="21"/>
              </w:rPr>
            </w:pPr>
            <w:r>
              <w:rPr>
                <w:rFonts w:hint="eastAsia" w:ascii="宋体" w:hAnsi="Calibri" w:cs="宋体"/>
                <w:color w:val="000000"/>
                <w:kern w:val="0"/>
                <w:sz w:val="21"/>
                <w:szCs w:val="21"/>
              </w:rPr>
              <w:t>部门名称：北京市海淀区温泉镇人民政府</w:t>
            </w:r>
          </w:p>
        </w:tc>
        <w:tc>
          <w:tcPr>
            <w:tcW w:w="3757" w:type="dxa"/>
            <w:tcBorders>
              <w:bottom w:val="single" w:color="auto" w:sz="4" w:space="0"/>
            </w:tcBorders>
          </w:tcPr>
          <w:p>
            <w:pPr>
              <w:autoSpaceDE w:val="0"/>
              <w:autoSpaceDN w:val="0"/>
              <w:adjustRightInd w:val="0"/>
              <w:spacing w:line="240" w:lineRule="auto"/>
              <w:ind w:firstLine="0" w:firstLineChars="0"/>
              <w:rPr>
                <w:rFonts w:ascii="宋体" w:hAnsi="Calibri" w:cs="宋体"/>
                <w:color w:val="000000"/>
                <w:kern w:val="0"/>
                <w:sz w:val="21"/>
                <w:szCs w:val="21"/>
              </w:rPr>
            </w:pPr>
            <w:r>
              <w:rPr>
                <w:rFonts w:hint="eastAsia" w:ascii="宋体" w:hAnsi="Calibri" w:cs="宋体"/>
                <w:color w:val="000000"/>
                <w:kern w:val="0"/>
                <w:sz w:val="21"/>
                <w:szCs w:val="21"/>
              </w:rPr>
              <w:t>年度：202</w:t>
            </w:r>
            <w:r>
              <w:rPr>
                <w:rFonts w:ascii="宋体" w:hAnsi="Calibri" w:cs="宋体"/>
                <w:color w:val="000000"/>
                <w:kern w:val="0"/>
                <w:sz w:val="21"/>
                <w:szCs w:val="21"/>
              </w:rPr>
              <w:t>1</w:t>
            </w:r>
            <w:r>
              <w:rPr>
                <w:rFonts w:hint="eastAsia" w:ascii="宋体" w:hAnsi="Calibri" w:cs="宋体"/>
                <w:color w:val="000000"/>
                <w:kern w:val="0"/>
                <w:sz w:val="21"/>
                <w:szCs w:val="21"/>
              </w:rPr>
              <w:t>年度</w:t>
            </w:r>
          </w:p>
        </w:tc>
      </w:tr>
      <w:tr>
        <w:tblPrEx>
          <w:tblCellMar>
            <w:top w:w="0" w:type="dxa"/>
            <w:left w:w="30" w:type="dxa"/>
            <w:bottom w:w="0" w:type="dxa"/>
            <w:right w:w="30" w:type="dxa"/>
          </w:tblCellMar>
        </w:tblPrEx>
        <w:trPr>
          <w:trHeight w:val="589" w:hRule="atLeast"/>
          <w:jc w:val="center"/>
        </w:trPr>
        <w:tc>
          <w:tcPr>
            <w:tcW w:w="3323"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指标内容</w:t>
            </w:r>
          </w:p>
        </w:tc>
        <w:tc>
          <w:tcPr>
            <w:tcW w:w="269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计划内容</w:t>
            </w:r>
          </w:p>
        </w:tc>
        <w:tc>
          <w:tcPr>
            <w:tcW w:w="375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实际完成情况</w:t>
            </w:r>
          </w:p>
        </w:tc>
      </w:tr>
      <w:tr>
        <w:tblPrEx>
          <w:tblCellMar>
            <w:top w:w="0" w:type="dxa"/>
            <w:left w:w="30" w:type="dxa"/>
            <w:bottom w:w="0" w:type="dxa"/>
            <w:right w:w="30" w:type="dxa"/>
          </w:tblCellMar>
        </w:tblPrEx>
        <w:trPr>
          <w:trHeight w:val="1541" w:hRule="atLeast"/>
          <w:jc w:val="center"/>
        </w:trPr>
        <w:tc>
          <w:tcPr>
            <w:tcW w:w="3323"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部门（单位）绩效目标</w:t>
            </w:r>
          </w:p>
        </w:tc>
        <w:tc>
          <w:tcPr>
            <w:tcW w:w="26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left"/>
              <w:rPr>
                <w:rFonts w:ascii="宋体" w:hAnsi="Calibri" w:cs="宋体"/>
                <w:color w:val="000000"/>
                <w:kern w:val="0"/>
                <w:sz w:val="21"/>
                <w:szCs w:val="21"/>
              </w:rPr>
            </w:pPr>
            <w:r>
              <w:rPr>
                <w:rFonts w:hint="eastAsia" w:ascii="宋体" w:hAnsi="Calibri" w:cs="宋体"/>
                <w:color w:val="000000"/>
                <w:kern w:val="0"/>
                <w:sz w:val="21"/>
                <w:szCs w:val="21"/>
              </w:rPr>
              <w:t>推进温泉镇域经济发展、城市治理、民生保障、基层党建各项重点工作，保持经济社会持续健康发展。</w:t>
            </w:r>
          </w:p>
        </w:tc>
        <w:tc>
          <w:tcPr>
            <w:tcW w:w="3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left"/>
              <w:rPr>
                <w:rFonts w:ascii="宋体" w:hAnsi="Calibri" w:cs="宋体"/>
                <w:color w:val="000000"/>
                <w:kern w:val="0"/>
                <w:sz w:val="21"/>
                <w:szCs w:val="21"/>
              </w:rPr>
            </w:pPr>
            <w:r>
              <w:rPr>
                <w:rFonts w:hint="eastAsia" w:ascii="宋体" w:hAnsi="Calibri" w:cs="宋体"/>
                <w:color w:val="000000"/>
                <w:kern w:val="0"/>
                <w:sz w:val="21"/>
                <w:szCs w:val="21"/>
              </w:rPr>
              <w:t>202</w:t>
            </w:r>
            <w:r>
              <w:rPr>
                <w:rFonts w:ascii="宋体" w:hAnsi="Calibri" w:cs="宋体"/>
                <w:color w:val="000000"/>
                <w:kern w:val="0"/>
                <w:sz w:val="21"/>
                <w:szCs w:val="21"/>
              </w:rPr>
              <w:t>1</w:t>
            </w:r>
            <w:r>
              <w:rPr>
                <w:rFonts w:hint="eastAsia" w:ascii="宋体" w:hAnsi="Calibri" w:cs="宋体"/>
                <w:color w:val="000000"/>
                <w:kern w:val="0"/>
                <w:sz w:val="21"/>
                <w:szCs w:val="21"/>
              </w:rPr>
              <w:t>年，在区委、区政府的坚强领导下，温泉镇坚持以习近平新时代中国特色社会主义思想为引领，坚持稳中求进、进中求好、补齐短板工作总基调，统筹推进疫情防控、经济发展、城市治理、民生保障、基层党建各项重点工作，保持了经济社会持续健康发展的良好态势。</w:t>
            </w:r>
          </w:p>
        </w:tc>
      </w:tr>
      <w:tr>
        <w:tblPrEx>
          <w:tblCellMar>
            <w:top w:w="0" w:type="dxa"/>
            <w:left w:w="30" w:type="dxa"/>
            <w:bottom w:w="0" w:type="dxa"/>
            <w:right w:w="30" w:type="dxa"/>
          </w:tblCellMar>
        </w:tblPrEx>
        <w:trPr>
          <w:trHeight w:val="544" w:hRule="atLeast"/>
          <w:jc w:val="center"/>
        </w:trPr>
        <w:tc>
          <w:tcPr>
            <w:tcW w:w="14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绩效指标</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指标名称</w:t>
            </w:r>
          </w:p>
        </w:tc>
        <w:tc>
          <w:tcPr>
            <w:tcW w:w="269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指标内容和指标值</w:t>
            </w:r>
          </w:p>
        </w:tc>
        <w:tc>
          <w:tcPr>
            <w:tcW w:w="3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已落实情况</w:t>
            </w:r>
          </w:p>
        </w:tc>
      </w:tr>
      <w:tr>
        <w:tblPrEx>
          <w:tblCellMar>
            <w:top w:w="0" w:type="dxa"/>
            <w:left w:w="30" w:type="dxa"/>
            <w:bottom w:w="0" w:type="dxa"/>
            <w:right w:w="30" w:type="dxa"/>
          </w:tblCellMar>
        </w:tblPrEx>
        <w:trPr>
          <w:trHeight w:val="1134" w:hRule="atLeast"/>
          <w:jc w:val="center"/>
        </w:trPr>
        <w:tc>
          <w:tcPr>
            <w:tcW w:w="1480" w:type="dxa"/>
            <w:vMerge w:val="continue"/>
            <w:tcBorders>
              <w:left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经济效益</w:t>
            </w:r>
          </w:p>
        </w:tc>
        <w:tc>
          <w:tcPr>
            <w:tcW w:w="2693" w:type="dxa"/>
            <w:tcBorders>
              <w:top w:val="single" w:color="auto" w:sz="6" w:space="0"/>
              <w:left w:val="single" w:color="auto" w:sz="4" w:space="0"/>
              <w:bottom w:val="single" w:color="auto" w:sz="6" w:space="0"/>
              <w:right w:val="single" w:color="auto" w:sz="6" w:space="0"/>
            </w:tcBorders>
            <w:vAlign w:val="center"/>
          </w:tcPr>
          <w:p>
            <w:pPr>
              <w:spacing w:line="440" w:lineRule="exact"/>
              <w:ind w:firstLine="420"/>
              <w:rPr>
                <w:rFonts w:ascii="宋体" w:hAnsi="宋体"/>
                <w:sz w:val="21"/>
                <w:szCs w:val="21"/>
              </w:rPr>
            </w:pPr>
            <w:r>
              <w:rPr>
                <w:rFonts w:hint="eastAsia" w:ascii="宋体" w:hAnsi="Calibri" w:cs="宋体"/>
                <w:color w:val="000000"/>
                <w:kern w:val="0"/>
                <w:sz w:val="21"/>
                <w:szCs w:val="21"/>
              </w:rPr>
              <w:t>力争温泉镇集体经济总收入</w:t>
            </w:r>
            <w:r>
              <w:rPr>
                <w:rFonts w:ascii="宋体" w:hAnsi="宋体"/>
                <w:sz w:val="21"/>
                <w:szCs w:val="21"/>
              </w:rPr>
              <w:t>力争</w:t>
            </w:r>
            <w:r>
              <w:rPr>
                <w:rFonts w:hint="eastAsia" w:ascii="宋体" w:hAnsi="宋体"/>
                <w:sz w:val="21"/>
                <w:szCs w:val="21"/>
              </w:rPr>
              <w:t>全年完成集体经济总收入16.32亿元，增幅7%。</w:t>
            </w:r>
          </w:p>
          <w:p>
            <w:pPr>
              <w:autoSpaceDE w:val="0"/>
              <w:autoSpaceDN w:val="0"/>
              <w:adjustRightInd w:val="0"/>
              <w:spacing w:line="240" w:lineRule="auto"/>
              <w:ind w:firstLine="0" w:firstLineChars="0"/>
              <w:jc w:val="center"/>
              <w:rPr>
                <w:rFonts w:ascii="宋体" w:hAnsi="Calibri" w:cs="宋体"/>
                <w:color w:val="000000"/>
                <w:kern w:val="0"/>
                <w:sz w:val="21"/>
                <w:szCs w:val="21"/>
              </w:rPr>
            </w:pPr>
          </w:p>
        </w:tc>
        <w:tc>
          <w:tcPr>
            <w:tcW w:w="3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left"/>
              <w:rPr>
                <w:rFonts w:ascii="宋体" w:hAnsi="Calibri" w:cs="宋体"/>
                <w:color w:val="000000"/>
                <w:kern w:val="0"/>
                <w:sz w:val="21"/>
                <w:szCs w:val="21"/>
              </w:rPr>
            </w:pPr>
            <w:r>
              <w:rPr>
                <w:rFonts w:hint="eastAsia" w:ascii="宋体" w:hAnsi="Calibri" w:cs="宋体"/>
                <w:color w:val="000000"/>
                <w:kern w:val="0"/>
                <w:sz w:val="21"/>
                <w:szCs w:val="21"/>
              </w:rPr>
              <w:t>完成经济总收入16.32亿元，增幅7%；完成经济纯收入4.99亿元，增幅7%。</w:t>
            </w:r>
          </w:p>
        </w:tc>
      </w:tr>
      <w:tr>
        <w:tblPrEx>
          <w:tblCellMar>
            <w:top w:w="0" w:type="dxa"/>
            <w:left w:w="30" w:type="dxa"/>
            <w:bottom w:w="0" w:type="dxa"/>
            <w:right w:w="30" w:type="dxa"/>
          </w:tblCellMar>
        </w:tblPrEx>
        <w:trPr>
          <w:jc w:val="center"/>
        </w:trPr>
        <w:tc>
          <w:tcPr>
            <w:tcW w:w="1480" w:type="dxa"/>
            <w:vMerge w:val="continue"/>
            <w:tcBorders>
              <w:left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社会效益</w:t>
            </w:r>
          </w:p>
        </w:tc>
        <w:tc>
          <w:tcPr>
            <w:tcW w:w="2693" w:type="dxa"/>
            <w:tcBorders>
              <w:top w:val="single" w:color="auto" w:sz="6" w:space="0"/>
              <w:left w:val="single" w:color="auto" w:sz="4" w:space="0"/>
              <w:bottom w:val="single" w:color="auto" w:sz="6" w:space="0"/>
              <w:right w:val="single" w:color="auto" w:sz="6" w:space="0"/>
            </w:tcBorders>
            <w:vAlign w:val="center"/>
          </w:tcPr>
          <w:p>
            <w:pPr>
              <w:pStyle w:val="17"/>
              <w:numPr>
                <w:ilvl w:val="0"/>
                <w:numId w:val="1"/>
              </w:numPr>
              <w:autoSpaceDE w:val="0"/>
              <w:autoSpaceDN w:val="0"/>
              <w:adjustRightInd w:val="0"/>
              <w:spacing w:line="240" w:lineRule="auto"/>
              <w:ind w:firstLineChars="0"/>
              <w:jc w:val="left"/>
              <w:rPr>
                <w:rFonts w:ascii="宋体" w:hAnsi="Calibri" w:cs="宋体"/>
                <w:color w:val="000000"/>
                <w:kern w:val="0"/>
                <w:sz w:val="21"/>
                <w:szCs w:val="21"/>
              </w:rPr>
            </w:pPr>
            <w:r>
              <w:rPr>
                <w:rFonts w:hint="eastAsia" w:ascii="宋体" w:hAnsi="Calibri" w:cs="宋体"/>
                <w:color w:val="000000"/>
                <w:kern w:val="0"/>
                <w:sz w:val="21"/>
                <w:szCs w:val="21"/>
              </w:rPr>
              <w:t>城市治理。</w:t>
            </w:r>
            <w:r>
              <w:rPr>
                <w:rFonts w:hint="eastAsia" w:asciiTheme="minorEastAsia" w:hAnsiTheme="minorEastAsia" w:eastAsiaTheme="minorEastAsia"/>
                <w:sz w:val="21"/>
                <w:szCs w:val="21"/>
              </w:rPr>
              <w:t>建立“十四五”规划重大项目库；深化“疏解整治促提升”专项行动，</w:t>
            </w:r>
            <w:r>
              <w:rPr>
                <w:rFonts w:hint="eastAsia" w:cs="仿宋_GB2312" w:asciiTheme="minorEastAsia" w:hAnsiTheme="minorEastAsia" w:eastAsiaTheme="minorEastAsia"/>
                <w:sz w:val="21"/>
                <w:szCs w:val="21"/>
              </w:rPr>
              <w:t>做好辛庄、高里掌腾退收尾工作，积极推动温泉村、白家疃村腾退工作</w:t>
            </w:r>
            <w:r>
              <w:rPr>
                <w:rFonts w:hint="eastAsia" w:asciiTheme="minorEastAsia" w:hAnsiTheme="minorEastAsia" w:eastAsiaTheme="minorEastAsia"/>
                <w:sz w:val="21"/>
                <w:szCs w:val="21"/>
              </w:rPr>
              <w:t>；</w:t>
            </w:r>
            <w:r>
              <w:rPr>
                <w:rFonts w:hint="eastAsia" w:cs="仿宋_GB2312" w:asciiTheme="minorEastAsia" w:hAnsiTheme="minorEastAsia" w:eastAsiaTheme="minorEastAsia"/>
                <w:sz w:val="21"/>
                <w:szCs w:val="21"/>
              </w:rPr>
              <w:t>加快推进FC地块腾退拆迁及安置房建设工作，</w:t>
            </w:r>
            <w:r>
              <w:rPr>
                <w:rFonts w:hint="eastAsia" w:asciiTheme="minorEastAsia" w:hAnsiTheme="minorEastAsia" w:eastAsiaTheme="minorEastAsia"/>
                <w:sz w:val="21"/>
                <w:szCs w:val="21"/>
              </w:rPr>
              <w:t>协助加快推进温泉供水厂进程；</w:t>
            </w:r>
            <w:r>
              <w:rPr>
                <w:rFonts w:hint="eastAsia" w:cs="仿宋_GB2312" w:asciiTheme="minorEastAsia" w:hAnsiTheme="minorEastAsia" w:eastAsiaTheme="minorEastAsia"/>
                <w:sz w:val="21"/>
                <w:szCs w:val="21"/>
              </w:rPr>
              <w:t>稳步推进物管会或业委会的组建成立</w:t>
            </w:r>
            <w:r>
              <w:rPr>
                <w:rFonts w:hint="eastAsia" w:ascii="宋体" w:hAnsi="Calibri" w:cs="宋体"/>
                <w:color w:val="000000"/>
                <w:kern w:val="0"/>
                <w:sz w:val="21"/>
                <w:szCs w:val="21"/>
              </w:rPr>
              <w:t>②民生保障。</w:t>
            </w:r>
            <w:r>
              <w:rPr>
                <w:rFonts w:hint="eastAsia" w:asciiTheme="minorEastAsia" w:hAnsiTheme="minorEastAsia" w:eastAsiaTheme="minorEastAsia"/>
                <w:sz w:val="21"/>
                <w:szCs w:val="21"/>
              </w:rPr>
              <w:t>持续推进为民办实事项目；实施更加积极的就业促进和创业扶持政策，扎实做好困难群众救助全覆盖，适时再引入一家养老驿站，继续</w:t>
            </w:r>
            <w:r>
              <w:rPr>
                <w:rFonts w:hint="eastAsia" w:asciiTheme="minorEastAsia" w:hAnsiTheme="minorEastAsia" w:eastAsiaTheme="minorEastAsia"/>
                <w:sz w:val="21"/>
                <w:szCs w:val="21"/>
                <w:lang w:val="zh-CN"/>
              </w:rPr>
              <w:t>加强医联体建设，</w:t>
            </w:r>
            <w:r>
              <w:rPr>
                <w:rFonts w:hint="eastAsia" w:asciiTheme="minorEastAsia" w:hAnsiTheme="minorEastAsia" w:eastAsiaTheme="minorEastAsia"/>
                <w:sz w:val="21"/>
                <w:szCs w:val="21"/>
              </w:rPr>
              <w:t>完善突发公共卫生事件应急和重大疾病防控机制，全力推进海淀区全国健康促进示范区创建工作；进一步完善现代公共文化服务体系，打造系列文化科技发展精品活动；助推文化与科技深度融合</w:t>
            </w:r>
            <w:r>
              <w:rPr>
                <w:rFonts w:hint="eastAsia" w:ascii="宋体" w:hAnsi="Calibri" w:cs="宋体"/>
                <w:color w:val="000000"/>
                <w:kern w:val="0"/>
                <w:sz w:val="21"/>
                <w:szCs w:val="21"/>
              </w:rPr>
              <w:t>③基层党建。</w:t>
            </w:r>
            <w:r>
              <w:rPr>
                <w:rFonts w:hint="eastAsia" w:asciiTheme="minorEastAsia" w:hAnsiTheme="minorEastAsia" w:eastAsiaTheme="minorEastAsia"/>
                <w:sz w:val="21"/>
                <w:szCs w:val="21"/>
              </w:rPr>
              <w:t>围绕巩固深化“不忘初心、牢记使命”主题教育成果，持续推动主题教育“8+2+1”专项整治任务落实；</w:t>
            </w:r>
            <w:r>
              <w:rPr>
                <w:rFonts w:hint="eastAsia" w:cs="仿宋_GB2312" w:asciiTheme="minorEastAsia" w:hAnsiTheme="minorEastAsia" w:eastAsiaTheme="minorEastAsia"/>
                <w:sz w:val="21"/>
                <w:szCs w:val="21"/>
              </w:rPr>
              <w:t>以换届选举、机构改革为契机，充分用好职级并行政策，有序推动干部队伍结构优化，重视为年轻干部搭平台，提高年轻干部“七种能力”。</w:t>
            </w:r>
          </w:p>
        </w:tc>
        <w:tc>
          <w:tcPr>
            <w:tcW w:w="3757" w:type="dxa"/>
            <w:tcBorders>
              <w:top w:val="single" w:color="auto" w:sz="6" w:space="0"/>
              <w:left w:val="single" w:color="auto" w:sz="6" w:space="0"/>
              <w:bottom w:val="single" w:color="auto" w:sz="6" w:space="0"/>
              <w:right w:val="single" w:color="auto" w:sz="6" w:space="0"/>
            </w:tcBorders>
            <w:vAlign w:val="center"/>
          </w:tcPr>
          <w:p>
            <w:pPr>
              <w:pStyle w:val="17"/>
              <w:numPr>
                <w:ilvl w:val="0"/>
                <w:numId w:val="2"/>
              </w:numPr>
              <w:autoSpaceDE w:val="0"/>
              <w:autoSpaceDN w:val="0"/>
              <w:adjustRightInd w:val="0"/>
              <w:spacing w:line="240" w:lineRule="auto"/>
              <w:ind w:firstLineChars="0"/>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疫情</w:t>
            </w:r>
            <w:r>
              <w:rPr>
                <w:rFonts w:cs="宋体" w:asciiTheme="minorEastAsia" w:hAnsiTheme="minorEastAsia" w:eastAsiaTheme="minorEastAsia"/>
                <w:color w:val="000000"/>
                <w:kern w:val="0"/>
                <w:sz w:val="21"/>
                <w:szCs w:val="21"/>
              </w:rPr>
              <w:t>防控。</w:t>
            </w:r>
            <w:r>
              <w:rPr>
                <w:rFonts w:hint="eastAsia" w:asciiTheme="minorEastAsia" w:hAnsiTheme="minorEastAsia" w:eastAsiaTheme="minorEastAsia"/>
                <w:sz w:val="21"/>
                <w:szCs w:val="21"/>
              </w:rPr>
              <w:t>抓实抓细常态化疫情防控，扎实做好人员管控、核酸检测、疫苗接种、复工复产等常态化工作</w:t>
            </w:r>
            <w:r>
              <w:rPr>
                <w:rFonts w:hint="eastAsia" w:cs="宋体" w:asciiTheme="minorEastAsia" w:hAnsiTheme="minorEastAsia" w:eastAsiaTheme="minorEastAsia"/>
                <w:color w:val="000000"/>
                <w:kern w:val="0"/>
                <w:sz w:val="21"/>
                <w:szCs w:val="21"/>
              </w:rPr>
              <w:t>②城市治理。</w:t>
            </w:r>
            <w:r>
              <w:rPr>
                <w:rFonts w:hint="eastAsia" w:asciiTheme="minorEastAsia" w:hAnsiTheme="minorEastAsia" w:eastAsiaTheme="minorEastAsia"/>
                <w:color w:val="000000"/>
                <w:sz w:val="21"/>
                <w:szCs w:val="21"/>
              </w:rPr>
              <w:t>辛庄村和高里掌村腾退收尾工作取得突破性进展</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已腾退429户</w:t>
            </w:r>
            <w:r>
              <w:rPr>
                <w:rFonts w:asciiTheme="minorEastAsia" w:hAnsiTheme="minorEastAsia" w:eastAsiaTheme="minorEastAsia"/>
                <w:color w:val="000000"/>
                <w:sz w:val="21"/>
                <w:szCs w:val="21"/>
              </w:rPr>
              <w:t>，腾退率</w:t>
            </w:r>
            <w:r>
              <w:rPr>
                <w:rFonts w:hint="eastAsia" w:asciiTheme="minorEastAsia" w:hAnsiTheme="minorEastAsia" w:eastAsiaTheme="minorEastAsia"/>
                <w:color w:val="000000"/>
                <w:sz w:val="21"/>
                <w:szCs w:val="21"/>
              </w:rPr>
              <w:t>78.6</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。争取</w:t>
            </w:r>
            <w:r>
              <w:rPr>
                <w:rFonts w:asciiTheme="minorEastAsia" w:hAnsiTheme="minorEastAsia" w:eastAsiaTheme="minorEastAsia"/>
                <w:color w:val="000000"/>
                <w:sz w:val="21"/>
                <w:szCs w:val="21"/>
              </w:rPr>
              <w:t>区级政策及资金支持，</w:t>
            </w:r>
            <w:r>
              <w:rPr>
                <w:rFonts w:hint="eastAsia" w:asciiTheme="minorEastAsia" w:hAnsiTheme="minorEastAsia" w:eastAsiaTheme="minorEastAsia"/>
                <w:color w:val="000000"/>
                <w:sz w:val="21"/>
                <w:szCs w:val="21"/>
              </w:rPr>
              <w:t>统筹推进辛庄村和高里掌村腾退收尾、F、C地块定向安置房项目、白家疃村和温泉村前期腾退方案、</w:t>
            </w:r>
            <w:r>
              <w:rPr>
                <w:rFonts w:asciiTheme="minorEastAsia" w:hAnsiTheme="minorEastAsia" w:eastAsiaTheme="minorEastAsia"/>
                <w:color w:val="000000"/>
                <w:sz w:val="21"/>
                <w:szCs w:val="21"/>
              </w:rPr>
              <w:t>温泉科技园二期和三期</w:t>
            </w:r>
            <w:r>
              <w:rPr>
                <w:rFonts w:hint="eastAsia" w:asciiTheme="minorEastAsia" w:hAnsiTheme="minorEastAsia" w:eastAsiaTheme="minorEastAsia"/>
                <w:color w:val="000000"/>
                <w:sz w:val="21"/>
                <w:szCs w:val="21"/>
              </w:rPr>
              <w:t>等重点项目建设，加快新型城市化进程。推进D15地块社区商业中心建设，提升天兰商场、北部文化中心、C06等社区商业品质，推进温阳路、温泉路和白家疃西路等街区改造，打造漫享式全时商业聚落。完善城乡基础设施，完成翠湖东路、邓庄南路西延、白家疃路、太舟坞桥等新建道路和老旧路桥改造提升工程。持续开展“疏解整治促提升”专项行动，保持“开墙打洞”、散乱污企业“动态清零”。有力推动市折子任务，</w:t>
            </w:r>
            <w:bookmarkStart w:id="0" w:name="_Hlk93481362"/>
            <w:r>
              <w:rPr>
                <w:rFonts w:hint="eastAsia" w:asciiTheme="minorEastAsia" w:hAnsiTheme="minorEastAsia" w:eastAsiaTheme="minorEastAsia"/>
                <w:color w:val="000000"/>
                <w:sz w:val="21"/>
                <w:szCs w:val="21"/>
              </w:rPr>
              <w:t>拆除建设面积</w:t>
            </w:r>
            <w:r>
              <w:rPr>
                <w:rFonts w:asciiTheme="minorEastAsia" w:hAnsiTheme="minorEastAsia" w:eastAsiaTheme="minorEastAsia"/>
                <w:color w:val="000000"/>
                <w:sz w:val="21"/>
                <w:szCs w:val="21"/>
              </w:rPr>
              <w:t>6.</w:t>
            </w:r>
            <w:r>
              <w:rPr>
                <w:rFonts w:hint="eastAsia" w:asciiTheme="minorEastAsia" w:hAnsiTheme="minorEastAsia" w:eastAsiaTheme="minorEastAsia"/>
                <w:color w:val="000000"/>
                <w:sz w:val="21"/>
                <w:szCs w:val="21"/>
              </w:rPr>
              <w:t>49万平方米</w:t>
            </w:r>
            <w:bookmarkEnd w:id="0"/>
            <w:r>
              <w:rPr>
                <w:rFonts w:hint="eastAsia" w:cs="宋体" w:asciiTheme="minorEastAsia" w:hAnsiTheme="minorEastAsia" w:eastAsiaTheme="minorEastAsia"/>
                <w:color w:val="000000"/>
                <w:kern w:val="0"/>
                <w:sz w:val="21"/>
                <w:szCs w:val="21"/>
              </w:rPr>
              <w:t>③民生保障。</w:t>
            </w:r>
            <w:r>
              <w:rPr>
                <w:rFonts w:hint="eastAsia" w:asciiTheme="minorEastAsia" w:hAnsiTheme="minorEastAsia" w:eastAsiaTheme="minorEastAsia"/>
                <w:sz w:val="21"/>
                <w:szCs w:val="21"/>
              </w:rPr>
              <w:t>紧扣“七有”“五性”，2</w:t>
            </w:r>
            <w:r>
              <w:rPr>
                <w:rFonts w:asciiTheme="minorEastAsia" w:hAnsiTheme="minorEastAsia" w:eastAsiaTheme="minorEastAsia"/>
                <w:sz w:val="21"/>
                <w:szCs w:val="21"/>
              </w:rPr>
              <w:t>021</w:t>
            </w:r>
            <w:r>
              <w:rPr>
                <w:rFonts w:hint="eastAsia" w:asciiTheme="minorEastAsia" w:hAnsiTheme="minorEastAsia" w:eastAsiaTheme="minorEastAsia"/>
                <w:sz w:val="21"/>
                <w:szCs w:val="21"/>
              </w:rPr>
              <w:t>年办理</w:t>
            </w:r>
            <w:r>
              <w:rPr>
                <w:rFonts w:asciiTheme="minorEastAsia" w:hAnsiTheme="minorEastAsia" w:eastAsiaTheme="minorEastAsia"/>
                <w:sz w:val="21"/>
                <w:szCs w:val="21"/>
              </w:rPr>
              <w:t>8</w:t>
            </w:r>
            <w:r>
              <w:rPr>
                <w:rFonts w:hint="eastAsia" w:asciiTheme="minorEastAsia" w:hAnsiTheme="minorEastAsia" w:eastAsiaTheme="minorEastAsia"/>
                <w:sz w:val="21"/>
                <w:szCs w:val="21"/>
              </w:rPr>
              <w:t>项</w:t>
            </w:r>
            <w:r>
              <w:rPr>
                <w:rFonts w:asciiTheme="minorEastAsia" w:hAnsiTheme="minorEastAsia" w:eastAsiaTheme="minorEastAsia"/>
                <w:sz w:val="21"/>
                <w:szCs w:val="21"/>
              </w:rPr>
              <w:t>为办实事</w:t>
            </w:r>
            <w:r>
              <w:rPr>
                <w:rFonts w:hint="eastAsia" w:asciiTheme="minorEastAsia" w:hAnsiTheme="minorEastAsia" w:eastAsiaTheme="minorEastAsia"/>
                <w:sz w:val="21"/>
                <w:szCs w:val="21"/>
              </w:rPr>
              <w:t>项目，</w:t>
            </w:r>
            <w:r>
              <w:rPr>
                <w:rFonts w:hint="eastAsia" w:cs="Calibri" w:asciiTheme="minorEastAsia" w:hAnsiTheme="minorEastAsia" w:eastAsiaTheme="minorEastAsia"/>
                <w:sz w:val="21"/>
                <w:szCs w:val="21"/>
              </w:rPr>
              <w:t>强化就业、教育、医疗等民生保障，以养老、助残、扶孤、济困为重点，</w:t>
            </w:r>
            <w:bookmarkStart w:id="1" w:name="_Hlk95431330"/>
            <w:r>
              <w:rPr>
                <w:rFonts w:hint="eastAsia" w:asciiTheme="minorEastAsia" w:hAnsiTheme="minorEastAsia" w:eastAsiaTheme="minorEastAsia"/>
                <w:bCs/>
                <w:sz w:val="21"/>
                <w:szCs w:val="21"/>
              </w:rPr>
              <w:t>扎实推进地区实现共同富裕</w:t>
            </w:r>
            <w:bookmarkEnd w:id="1"/>
            <w:r>
              <w:rPr>
                <w:rFonts w:hint="eastAsia" w:cs="Calibri" w:asciiTheme="minorEastAsia" w:hAnsiTheme="minorEastAsia" w:eastAsiaTheme="minorEastAsia"/>
                <w:sz w:val="21"/>
                <w:szCs w:val="21"/>
              </w:rPr>
              <w:t>。在白家疃村、温泉村推行准物业化管理，全面实施农村人居环境整治，新建停车场7个，新增机动车停车位860个，完成9座水冲厕所提升改造。</w:t>
            </w:r>
            <w:r>
              <w:rPr>
                <w:rFonts w:hint="eastAsia" w:asciiTheme="minorEastAsia" w:hAnsiTheme="minorEastAsia" w:eastAsiaTheme="minorEastAsia"/>
                <w:kern w:val="0"/>
                <w:sz w:val="21"/>
                <w:szCs w:val="21"/>
              </w:rPr>
              <w:t>开展红色原创诗词大赛、温泉文化科技艺术节等系列活动</w:t>
            </w:r>
            <w:r>
              <w:rPr>
                <w:rFonts w:hint="eastAsia" w:cs="Calibri" w:asciiTheme="minorEastAsia" w:hAnsiTheme="minorEastAsia" w:eastAsiaTheme="minorEastAsia"/>
                <w:sz w:val="21"/>
                <w:szCs w:val="21"/>
              </w:rPr>
              <w:t>，进一步巩固</w:t>
            </w:r>
            <w:r>
              <w:rPr>
                <w:rFonts w:cs="Calibri" w:asciiTheme="minorEastAsia" w:hAnsiTheme="minorEastAsia" w:eastAsiaTheme="minorEastAsia"/>
                <w:sz w:val="21"/>
                <w:szCs w:val="21"/>
              </w:rPr>
              <w:t>文明城区建设成果</w:t>
            </w:r>
            <w:r>
              <w:rPr>
                <w:rFonts w:hint="eastAsia" w:cs="Calibri" w:asciiTheme="minorEastAsia" w:hAnsiTheme="minorEastAsia" w:eastAsiaTheme="minorEastAsia"/>
                <w:sz w:val="21"/>
                <w:szCs w:val="21"/>
              </w:rPr>
              <w:t>。加快推进“山水林田湖”生态系统提升工程，完成景观生态采摘</w:t>
            </w:r>
            <w:r>
              <w:rPr>
                <w:rFonts w:hint="eastAsia" w:asciiTheme="minorEastAsia" w:hAnsiTheme="minorEastAsia" w:eastAsiaTheme="minorEastAsia"/>
                <w:color w:val="000000"/>
                <w:sz w:val="21"/>
                <w:szCs w:val="21"/>
              </w:rPr>
              <w:t>园一期、南山果园公园化二期项目</w:t>
            </w:r>
            <w:r>
              <w:rPr>
                <w:rFonts w:hint="eastAsia" w:asciiTheme="minorEastAsia" w:hAnsiTheme="minorEastAsia" w:eastAsiaTheme="minorEastAsia"/>
                <w:sz w:val="21"/>
                <w:szCs w:val="21"/>
              </w:rPr>
              <w:t>完成</w:t>
            </w:r>
            <w:r>
              <w:rPr>
                <w:rFonts w:asciiTheme="minorEastAsia" w:hAnsiTheme="minorEastAsia" w:eastAsiaTheme="minorEastAsia"/>
                <w:sz w:val="21"/>
                <w:szCs w:val="21"/>
              </w:rPr>
              <w:t>颐阳东区北侧新建污水</w:t>
            </w:r>
            <w:r>
              <w:rPr>
                <w:rFonts w:hint="eastAsia" w:asciiTheme="minorEastAsia" w:hAnsiTheme="minorEastAsia" w:eastAsiaTheme="minorEastAsia"/>
                <w:sz w:val="21"/>
                <w:szCs w:val="21"/>
              </w:rPr>
              <w:t>管线</w:t>
            </w:r>
            <w:r>
              <w:rPr>
                <w:rFonts w:asciiTheme="minorEastAsia" w:hAnsiTheme="minorEastAsia" w:eastAsiaTheme="minorEastAsia"/>
                <w:sz w:val="21"/>
                <w:szCs w:val="21"/>
              </w:rPr>
              <w:t>项目</w:t>
            </w:r>
            <w:r>
              <w:rPr>
                <w:rFonts w:hint="eastAsia" w:asciiTheme="minorEastAsia" w:hAnsiTheme="minorEastAsia" w:eastAsiaTheme="minorEastAsia"/>
                <w:sz w:val="21"/>
                <w:szCs w:val="21"/>
              </w:rPr>
              <w:t>，</w:t>
            </w:r>
            <w:r>
              <w:rPr>
                <w:rFonts w:hint="eastAsia" w:cs="Calibri" w:asciiTheme="minorEastAsia" w:hAnsiTheme="minorEastAsia" w:eastAsiaTheme="minorEastAsia"/>
                <w:sz w:val="21"/>
                <w:szCs w:val="21"/>
              </w:rPr>
              <w:t>开展</w:t>
            </w:r>
            <w:r>
              <w:rPr>
                <w:rFonts w:hint="eastAsia" w:asciiTheme="minorEastAsia" w:hAnsiTheme="minorEastAsia" w:eastAsiaTheme="minorEastAsia"/>
                <w:sz w:val="21"/>
                <w:szCs w:val="21"/>
              </w:rPr>
              <w:t>三角地</w:t>
            </w:r>
            <w:r>
              <w:rPr>
                <w:rFonts w:asciiTheme="minorEastAsia" w:hAnsiTheme="minorEastAsia" w:eastAsiaTheme="minorEastAsia"/>
                <w:sz w:val="21"/>
                <w:szCs w:val="21"/>
              </w:rPr>
              <w:t>至福溪家园北</w:t>
            </w:r>
            <w:r>
              <w:rPr>
                <w:rFonts w:hint="eastAsia" w:asciiTheme="minorEastAsia" w:hAnsiTheme="minorEastAsia" w:eastAsiaTheme="minorEastAsia"/>
                <w:sz w:val="21"/>
                <w:szCs w:val="21"/>
              </w:rPr>
              <w:t>污水</w:t>
            </w:r>
            <w:r>
              <w:rPr>
                <w:rFonts w:asciiTheme="minorEastAsia" w:hAnsiTheme="minorEastAsia" w:eastAsiaTheme="minorEastAsia"/>
                <w:sz w:val="21"/>
                <w:szCs w:val="21"/>
              </w:rPr>
              <w:t>管线工程</w:t>
            </w:r>
            <w:r>
              <w:rPr>
                <w:rFonts w:hint="eastAsia" w:asciiTheme="minorEastAsia" w:hAnsiTheme="minorEastAsia" w:eastAsiaTheme="minorEastAsia"/>
                <w:sz w:val="21"/>
                <w:szCs w:val="21"/>
              </w:rPr>
              <w:t>。</w:t>
            </w:r>
            <w:r>
              <w:rPr>
                <w:rFonts w:hint="eastAsia" w:asciiTheme="minorEastAsia" w:hAnsiTheme="minorEastAsia" w:eastAsiaTheme="minorEastAsia"/>
                <w:kern w:val="0"/>
                <w:sz w:val="21"/>
                <w:szCs w:val="21"/>
              </w:rPr>
              <w:t>扎实推进高标准农田建设，实施太舟坞休闲农业互</w:t>
            </w:r>
            <w:r>
              <w:rPr>
                <w:rFonts w:hint="eastAsia" w:asciiTheme="minorEastAsia" w:hAnsiTheme="minorEastAsia" w:eastAsiaTheme="minorEastAsia"/>
                <w:sz w:val="21"/>
                <w:szCs w:val="21"/>
              </w:rPr>
              <w:t>动体验园项目，打造休闲采摘旅游观光综合体。完成东埠头沟公园、温泉公园三期、大寨渠滨水公园等8处景观提升工程，新增公园绿地面积约50公顷。</w:t>
            </w:r>
            <w:r>
              <w:rPr>
                <w:rFonts w:hint="eastAsia" w:cs="Calibri" w:asciiTheme="minorEastAsia" w:hAnsiTheme="minorEastAsia" w:eastAsiaTheme="minorEastAsia"/>
                <w:sz w:val="21"/>
                <w:szCs w:val="21"/>
              </w:rPr>
              <w:t>完成</w:t>
            </w:r>
            <w:r>
              <w:rPr>
                <w:rFonts w:hint="eastAsia" w:asciiTheme="minorEastAsia" w:hAnsiTheme="minorEastAsia" w:eastAsiaTheme="minorEastAsia"/>
                <w:sz w:val="21"/>
                <w:szCs w:val="21"/>
              </w:rPr>
              <w:t>温泉路45号院</w:t>
            </w:r>
            <w:r>
              <w:rPr>
                <w:rFonts w:asciiTheme="minorEastAsia" w:hAnsiTheme="minorEastAsia" w:eastAsiaTheme="minorEastAsia"/>
                <w:sz w:val="21"/>
                <w:szCs w:val="21"/>
              </w:rPr>
              <w:t>老旧小区改造</w:t>
            </w:r>
            <w:r>
              <w:rPr>
                <w:rFonts w:hint="eastAsia" w:asciiTheme="minorEastAsia" w:hAnsiTheme="minorEastAsia" w:eastAsiaTheme="minorEastAsia"/>
                <w:sz w:val="21"/>
                <w:szCs w:val="21"/>
              </w:rPr>
              <w:t>，改善</w:t>
            </w:r>
            <w:r>
              <w:rPr>
                <w:rFonts w:asciiTheme="minorEastAsia" w:hAnsiTheme="minorEastAsia" w:eastAsiaTheme="minorEastAsia"/>
                <w:sz w:val="21"/>
                <w:szCs w:val="21"/>
              </w:rPr>
              <w:t>翠微</w:t>
            </w:r>
            <w:r>
              <w:rPr>
                <w:rFonts w:hint="eastAsia" w:asciiTheme="minorEastAsia" w:hAnsiTheme="minorEastAsia" w:eastAsiaTheme="minorEastAsia"/>
                <w:sz w:val="21"/>
                <w:szCs w:val="21"/>
              </w:rPr>
              <w:t>小学</w:t>
            </w:r>
            <w:r>
              <w:rPr>
                <w:rFonts w:asciiTheme="minorEastAsia" w:hAnsiTheme="minorEastAsia" w:eastAsiaTheme="minorEastAsia"/>
                <w:sz w:val="21"/>
                <w:szCs w:val="21"/>
              </w:rPr>
              <w:t>北门等</w:t>
            </w:r>
            <w:r>
              <w:rPr>
                <w:rFonts w:hint="eastAsia" w:asciiTheme="minorEastAsia" w:hAnsiTheme="minorEastAsia" w:eastAsiaTheme="minorEastAsia"/>
                <w:sz w:val="21"/>
                <w:szCs w:val="21"/>
              </w:rPr>
              <w:t>区域</w:t>
            </w:r>
            <w:r>
              <w:rPr>
                <w:rFonts w:asciiTheme="minorEastAsia" w:hAnsiTheme="minorEastAsia" w:eastAsiaTheme="minorEastAsia"/>
                <w:sz w:val="21"/>
                <w:szCs w:val="21"/>
              </w:rPr>
              <w:t>交通</w:t>
            </w:r>
            <w:r>
              <w:rPr>
                <w:rFonts w:hint="eastAsia" w:asciiTheme="minorEastAsia" w:hAnsiTheme="minorEastAsia" w:eastAsiaTheme="minorEastAsia"/>
                <w:sz w:val="21"/>
                <w:szCs w:val="21"/>
              </w:rPr>
              <w:t>拥堵</w:t>
            </w:r>
            <w:r>
              <w:rPr>
                <w:rFonts w:asciiTheme="minorEastAsia" w:hAnsiTheme="minorEastAsia" w:eastAsiaTheme="minorEastAsia"/>
                <w:sz w:val="21"/>
                <w:szCs w:val="21"/>
              </w:rPr>
              <w:t>，</w:t>
            </w:r>
            <w:r>
              <w:rPr>
                <w:rFonts w:hint="eastAsia" w:asciiTheme="minorEastAsia" w:hAnsiTheme="minorEastAsia" w:eastAsiaTheme="minorEastAsia"/>
                <w:bCs/>
                <w:sz w:val="21"/>
                <w:szCs w:val="21"/>
              </w:rPr>
              <w:t>构建“5分钟充电圈”</w:t>
            </w:r>
            <w:r>
              <w:rPr>
                <w:rFonts w:hint="eastAsia" w:cs="宋体" w:asciiTheme="minorEastAsia" w:hAnsiTheme="minorEastAsia" w:eastAsiaTheme="minorEastAsia"/>
                <w:color w:val="000000"/>
                <w:kern w:val="0"/>
                <w:sz w:val="21"/>
                <w:szCs w:val="21"/>
              </w:rPr>
              <w:t>④基层党建。</w:t>
            </w:r>
            <w:r>
              <w:rPr>
                <w:rFonts w:hint="eastAsia" w:asciiTheme="minorEastAsia" w:hAnsiTheme="minorEastAsia" w:eastAsiaTheme="minorEastAsia"/>
                <w:bCs/>
                <w:sz w:val="21"/>
                <w:szCs w:val="21"/>
              </w:rPr>
              <w:t>圆满完成镇</w:t>
            </w:r>
            <w:r>
              <w:rPr>
                <w:rFonts w:asciiTheme="minorEastAsia" w:hAnsiTheme="minorEastAsia" w:eastAsiaTheme="minorEastAsia"/>
                <w:bCs/>
                <w:sz w:val="21"/>
                <w:szCs w:val="21"/>
              </w:rPr>
              <w:t>领导</w:t>
            </w:r>
            <w:r>
              <w:rPr>
                <w:rFonts w:hint="eastAsia" w:asciiTheme="minorEastAsia" w:hAnsiTheme="minorEastAsia" w:eastAsiaTheme="minorEastAsia"/>
                <w:bCs/>
                <w:sz w:val="21"/>
                <w:szCs w:val="21"/>
              </w:rPr>
              <w:t>班</w:t>
            </w:r>
            <w:r>
              <w:rPr>
                <w:rFonts w:asciiTheme="minorEastAsia" w:hAnsiTheme="minorEastAsia" w:eastAsiaTheme="minorEastAsia"/>
                <w:bCs/>
                <w:sz w:val="21"/>
                <w:szCs w:val="21"/>
              </w:rPr>
              <w:t>子换届选举</w:t>
            </w:r>
            <w:r>
              <w:rPr>
                <w:rFonts w:hint="eastAsia" w:asciiTheme="minorEastAsia" w:hAnsiTheme="minorEastAsia" w:eastAsiaTheme="minorEastAsia"/>
                <w:bCs/>
                <w:sz w:val="21"/>
                <w:szCs w:val="21"/>
              </w:rPr>
              <w:t>任务，</w:t>
            </w:r>
            <w:r>
              <w:rPr>
                <w:rFonts w:hint="eastAsia" w:cs="仿宋_GB2312" w:asciiTheme="minorEastAsia" w:hAnsiTheme="minorEastAsia" w:eastAsiaTheme="minorEastAsia"/>
                <w:bCs/>
                <w:sz w:val="21"/>
                <w:szCs w:val="21"/>
              </w:rPr>
              <w:t>顺利召开镇第六次党代会和镇第七届人代会。</w:t>
            </w:r>
            <w:r>
              <w:rPr>
                <w:rFonts w:hint="eastAsia" w:asciiTheme="minorEastAsia" w:hAnsiTheme="minorEastAsia" w:eastAsiaTheme="minorEastAsia"/>
                <w:bCs/>
                <w:sz w:val="21"/>
                <w:szCs w:val="21"/>
              </w:rPr>
              <w:t>高质量完成镇、</w:t>
            </w:r>
            <w:r>
              <w:rPr>
                <w:rFonts w:asciiTheme="minorEastAsia" w:hAnsiTheme="minorEastAsia" w:eastAsiaTheme="minorEastAsia"/>
                <w:bCs/>
                <w:sz w:val="21"/>
                <w:szCs w:val="21"/>
              </w:rPr>
              <w:t>村</w:t>
            </w:r>
            <w:r>
              <w:rPr>
                <w:rFonts w:hint="eastAsia" w:asciiTheme="minorEastAsia" w:hAnsiTheme="minorEastAsia" w:eastAsiaTheme="minorEastAsia"/>
                <w:bCs/>
                <w:sz w:val="21"/>
                <w:szCs w:val="21"/>
              </w:rPr>
              <w:t>两</w:t>
            </w:r>
            <w:r>
              <w:rPr>
                <w:rFonts w:asciiTheme="minorEastAsia" w:hAnsiTheme="minorEastAsia" w:eastAsiaTheme="minorEastAsia"/>
                <w:bCs/>
                <w:sz w:val="21"/>
                <w:szCs w:val="21"/>
              </w:rPr>
              <w:t>级股份社换届选举</w:t>
            </w:r>
            <w:r>
              <w:rPr>
                <w:rFonts w:hint="eastAsia" w:asciiTheme="minorEastAsia" w:hAnsiTheme="minorEastAsia" w:eastAsiaTheme="minorEastAsia"/>
                <w:bCs/>
                <w:sz w:val="21"/>
                <w:szCs w:val="21"/>
              </w:rPr>
              <w:t>和</w:t>
            </w:r>
            <w:r>
              <w:rPr>
                <w:rFonts w:hint="eastAsia" w:cs="仿宋_GB2312" w:asciiTheme="minorEastAsia" w:hAnsiTheme="minorEastAsia" w:eastAsiaTheme="minorEastAsia"/>
                <w:sz w:val="21"/>
                <w:szCs w:val="21"/>
              </w:rPr>
              <w:t>村、社区“两委”换届工作</w:t>
            </w:r>
            <w:r>
              <w:rPr>
                <w:rFonts w:hint="eastAsia" w:asciiTheme="minorEastAsia" w:hAnsiTheme="minorEastAsia" w:eastAsiaTheme="minorEastAsia"/>
                <w:bCs/>
                <w:sz w:val="21"/>
                <w:szCs w:val="21"/>
              </w:rPr>
              <w:t>，</w:t>
            </w:r>
            <w:r>
              <w:rPr>
                <w:rFonts w:hint="eastAsia" w:cs="仿宋_GB2312" w:asciiTheme="minorEastAsia" w:hAnsiTheme="minorEastAsia" w:eastAsiaTheme="minorEastAsia"/>
                <w:sz w:val="21"/>
                <w:szCs w:val="21"/>
              </w:rPr>
              <w:t>选优配强班子力量。</w:t>
            </w:r>
            <w:r>
              <w:rPr>
                <w:rFonts w:hint="eastAsia" w:asciiTheme="minorEastAsia" w:hAnsiTheme="minorEastAsia" w:eastAsiaTheme="minorEastAsia"/>
                <w:bCs/>
                <w:sz w:val="21"/>
                <w:szCs w:val="21"/>
              </w:rPr>
              <w:t>全面落实全面从严治党主体责任，贯彻落实中央八项规定精神及实施细则要求，</w:t>
            </w:r>
            <w:r>
              <w:rPr>
                <w:rFonts w:hint="eastAsia" w:asciiTheme="minorEastAsia" w:hAnsiTheme="minorEastAsia" w:eastAsiaTheme="minorEastAsia"/>
                <w:sz w:val="21"/>
                <w:szCs w:val="21"/>
              </w:rPr>
              <w:t>全力推动法治政府</w:t>
            </w:r>
            <w:r>
              <w:rPr>
                <w:rFonts w:asciiTheme="minorEastAsia" w:hAnsiTheme="minorEastAsia" w:eastAsiaTheme="minorEastAsia"/>
                <w:sz w:val="21"/>
                <w:szCs w:val="21"/>
              </w:rPr>
              <w:t>、法治社会</w:t>
            </w:r>
            <w:r>
              <w:rPr>
                <w:rFonts w:hint="eastAsia" w:asciiTheme="minorEastAsia" w:hAnsiTheme="minorEastAsia" w:eastAsiaTheme="minorEastAsia"/>
                <w:sz w:val="21"/>
                <w:szCs w:val="21"/>
              </w:rPr>
              <w:t>一体建设。</w:t>
            </w:r>
          </w:p>
        </w:tc>
      </w:tr>
      <w:tr>
        <w:tblPrEx>
          <w:tblCellMar>
            <w:top w:w="0" w:type="dxa"/>
            <w:left w:w="30" w:type="dxa"/>
            <w:bottom w:w="0" w:type="dxa"/>
            <w:right w:w="30" w:type="dxa"/>
          </w:tblCellMar>
        </w:tblPrEx>
        <w:trPr>
          <w:trHeight w:val="1134" w:hRule="atLeast"/>
          <w:jc w:val="center"/>
        </w:trPr>
        <w:tc>
          <w:tcPr>
            <w:tcW w:w="1480" w:type="dxa"/>
            <w:vMerge w:val="continue"/>
            <w:tcBorders>
              <w:left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宋体" w:cs="宋体"/>
                <w:kern w:val="0"/>
                <w:sz w:val="21"/>
                <w:szCs w:val="21"/>
              </w:rPr>
              <w:t>环境效益</w:t>
            </w:r>
          </w:p>
        </w:tc>
        <w:tc>
          <w:tcPr>
            <w:tcW w:w="269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①有序开展垃圾分类宣传推广、规范保持、整改提高工作。</w:t>
            </w:r>
          </w:p>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②做好道路保洁、扫雪铲冰、环境整治工作，提高区域环境水平。</w:t>
            </w:r>
          </w:p>
        </w:tc>
        <w:tc>
          <w:tcPr>
            <w:tcW w:w="3757" w:type="dxa"/>
            <w:tcBorders>
              <w:top w:val="single" w:color="auto" w:sz="6" w:space="0"/>
              <w:left w:val="single" w:color="auto" w:sz="6" w:space="0"/>
              <w:bottom w:val="single" w:color="auto" w:sz="6" w:space="0"/>
              <w:right w:val="single" w:color="auto" w:sz="6" w:space="0"/>
            </w:tcBorders>
            <w:vAlign w:val="center"/>
          </w:tcPr>
          <w:p>
            <w:pPr>
              <w:pStyle w:val="17"/>
              <w:numPr>
                <w:ilvl w:val="0"/>
                <w:numId w:val="3"/>
              </w:numPr>
              <w:autoSpaceDE w:val="0"/>
              <w:autoSpaceDN w:val="0"/>
              <w:adjustRightInd w:val="0"/>
              <w:spacing w:line="240" w:lineRule="auto"/>
              <w:ind w:firstLineChars="0"/>
              <w:rPr>
                <w:rFonts w:cs="宋体" w:asciiTheme="majorEastAsia" w:hAnsiTheme="majorEastAsia" w:eastAsiaTheme="majorEastAsia"/>
                <w:color w:val="000000"/>
                <w:kern w:val="0"/>
                <w:sz w:val="21"/>
                <w:szCs w:val="21"/>
              </w:rPr>
            </w:pPr>
            <w:r>
              <w:rPr>
                <w:rFonts w:hint="eastAsia" w:ascii="宋体" w:hAnsi="Calibri" w:cs="宋体"/>
                <w:color w:val="000000"/>
                <w:kern w:val="0"/>
                <w:sz w:val="21"/>
                <w:szCs w:val="21"/>
              </w:rPr>
              <w:t>垃圾分类各项</w:t>
            </w:r>
            <w:r>
              <w:rPr>
                <w:rFonts w:ascii="宋体" w:hAnsi="Calibri" w:cs="宋体"/>
                <w:color w:val="000000"/>
                <w:kern w:val="0"/>
                <w:sz w:val="21"/>
                <w:szCs w:val="21"/>
              </w:rPr>
              <w:t>工作</w:t>
            </w:r>
            <w:r>
              <w:rPr>
                <w:rFonts w:hint="eastAsia" w:ascii="宋体" w:hAnsi="Calibri" w:cs="宋体"/>
                <w:color w:val="000000"/>
                <w:kern w:val="0"/>
                <w:sz w:val="21"/>
                <w:szCs w:val="21"/>
              </w:rPr>
              <w:t>有序开展。</w:t>
            </w:r>
            <w:r>
              <w:rPr>
                <w:rFonts w:hint="eastAsia" w:asciiTheme="majorEastAsia" w:hAnsiTheme="majorEastAsia" w:eastAsiaTheme="majorEastAsia"/>
                <w:sz w:val="21"/>
                <w:szCs w:val="21"/>
              </w:rPr>
              <w:t>全面推进生活垃圾</w:t>
            </w:r>
            <w:r>
              <w:rPr>
                <w:rFonts w:asciiTheme="majorEastAsia" w:hAnsiTheme="majorEastAsia" w:eastAsiaTheme="majorEastAsia"/>
                <w:sz w:val="21"/>
                <w:szCs w:val="21"/>
              </w:rPr>
              <w:t>分类</w:t>
            </w:r>
            <w:r>
              <w:rPr>
                <w:rFonts w:hint="eastAsia" w:asciiTheme="majorEastAsia" w:hAnsiTheme="majorEastAsia" w:eastAsiaTheme="majorEastAsia"/>
                <w:sz w:val="21"/>
                <w:szCs w:val="21"/>
              </w:rPr>
              <w:t>，顺利通过北京市第四批示范片区创建验收，</w:t>
            </w:r>
            <w:r>
              <w:rPr>
                <w:rFonts w:asciiTheme="majorEastAsia" w:hAnsiTheme="majorEastAsia" w:eastAsiaTheme="majorEastAsia"/>
                <w:sz w:val="21"/>
                <w:szCs w:val="21"/>
              </w:rPr>
              <w:t>304社区</w:t>
            </w:r>
            <w:r>
              <w:rPr>
                <w:rFonts w:hint="eastAsia" w:asciiTheme="majorEastAsia" w:hAnsiTheme="majorEastAsia" w:eastAsiaTheme="majorEastAsia"/>
                <w:sz w:val="21"/>
                <w:szCs w:val="21"/>
              </w:rPr>
              <w:t>和北辰香麓小区</w:t>
            </w:r>
            <w:r>
              <w:rPr>
                <w:rFonts w:asciiTheme="majorEastAsia" w:hAnsiTheme="majorEastAsia" w:eastAsiaTheme="majorEastAsia"/>
                <w:sz w:val="21"/>
                <w:szCs w:val="21"/>
              </w:rPr>
              <w:t>成功创建北京市垃圾分类示范小区</w:t>
            </w:r>
          </w:p>
          <w:p>
            <w:pPr>
              <w:pStyle w:val="17"/>
              <w:autoSpaceDE w:val="0"/>
              <w:autoSpaceDN w:val="0"/>
              <w:adjustRightInd w:val="0"/>
              <w:spacing w:line="240" w:lineRule="auto"/>
              <w:ind w:firstLine="0" w:firstLineChars="0"/>
              <w:rPr>
                <w:rFonts w:ascii="宋体" w:hAnsi="Calibri" w:cs="宋体"/>
                <w:color w:val="000000"/>
                <w:kern w:val="0"/>
                <w:sz w:val="21"/>
                <w:szCs w:val="21"/>
              </w:rPr>
            </w:pPr>
            <w:r>
              <w:rPr>
                <w:rFonts w:hint="eastAsia" w:ascii="宋体" w:hAnsi="Calibri" w:cs="宋体"/>
                <w:color w:val="000000"/>
                <w:kern w:val="0"/>
                <w:sz w:val="21"/>
                <w:szCs w:val="21"/>
              </w:rPr>
              <w:t>②道路保洁、扫雪铲冰、环境整治工作有序</w:t>
            </w:r>
            <w:r>
              <w:rPr>
                <w:rFonts w:ascii="宋体" w:hAnsi="Calibri" w:cs="宋体"/>
                <w:color w:val="000000"/>
                <w:kern w:val="0"/>
                <w:sz w:val="21"/>
                <w:szCs w:val="21"/>
              </w:rPr>
              <w:t>开展</w:t>
            </w:r>
            <w:r>
              <w:rPr>
                <w:rFonts w:hint="eastAsia" w:ascii="宋体" w:hAnsi="Calibri" w:cs="宋体"/>
                <w:color w:val="000000"/>
                <w:kern w:val="0"/>
                <w:sz w:val="21"/>
                <w:szCs w:val="21"/>
              </w:rPr>
              <w:t>，区域环境水平得到了</w:t>
            </w:r>
            <w:r>
              <w:rPr>
                <w:rFonts w:ascii="宋体" w:hAnsi="Calibri" w:cs="宋体"/>
                <w:color w:val="000000"/>
                <w:kern w:val="0"/>
                <w:sz w:val="21"/>
                <w:szCs w:val="21"/>
              </w:rPr>
              <w:t>极大地提升</w:t>
            </w:r>
            <w:r>
              <w:rPr>
                <w:rFonts w:hint="eastAsia" w:ascii="宋体" w:hAnsi="Calibri" w:cs="宋体"/>
                <w:color w:val="000000"/>
                <w:kern w:val="0"/>
                <w:sz w:val="21"/>
                <w:szCs w:val="21"/>
              </w:rPr>
              <w:t>。</w:t>
            </w:r>
          </w:p>
        </w:tc>
      </w:tr>
      <w:tr>
        <w:tblPrEx>
          <w:tblCellMar>
            <w:top w:w="0" w:type="dxa"/>
            <w:left w:w="30" w:type="dxa"/>
            <w:bottom w:w="0" w:type="dxa"/>
            <w:right w:w="30" w:type="dxa"/>
          </w:tblCellMar>
        </w:tblPrEx>
        <w:trPr>
          <w:trHeight w:val="1134" w:hRule="atLeast"/>
          <w:jc w:val="center"/>
        </w:trPr>
        <w:tc>
          <w:tcPr>
            <w:tcW w:w="1480" w:type="dxa"/>
            <w:vMerge w:val="continue"/>
            <w:tcBorders>
              <w:left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color w:val="000000"/>
                <w:kern w:val="0"/>
                <w:sz w:val="21"/>
                <w:szCs w:val="21"/>
              </w:rPr>
              <w:t>居民满意度</w:t>
            </w:r>
          </w:p>
        </w:tc>
        <w:tc>
          <w:tcPr>
            <w:tcW w:w="269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21"/>
                <w:szCs w:val="21"/>
                <w:highlight w:val="darkCyan"/>
              </w:rPr>
            </w:pPr>
            <w:r>
              <w:rPr>
                <w:rFonts w:hint="eastAsia" w:ascii="宋体" w:hAnsi="Calibri" w:cs="宋体"/>
                <w:color w:val="000000"/>
                <w:kern w:val="0"/>
                <w:sz w:val="21"/>
                <w:szCs w:val="21"/>
                <w:highlight w:val="darkCyan"/>
              </w:rPr>
              <w:t>居民满意度达90%以上</w:t>
            </w:r>
          </w:p>
        </w:tc>
        <w:tc>
          <w:tcPr>
            <w:tcW w:w="375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color w:val="FF0000"/>
                <w:kern w:val="0"/>
                <w:sz w:val="21"/>
                <w:szCs w:val="21"/>
                <w:highlight w:val="darkCyan"/>
              </w:rPr>
            </w:pPr>
            <w:r>
              <w:rPr>
                <w:rFonts w:hint="eastAsia" w:ascii="宋体" w:hAnsi="Calibri" w:cs="宋体"/>
                <w:color w:val="000000" w:themeColor="text1"/>
                <w:kern w:val="0"/>
                <w:sz w:val="21"/>
                <w:szCs w:val="21"/>
                <w:highlight w:val="darkCyan"/>
                <w14:textFill>
                  <w14:solidFill>
                    <w14:schemeClr w14:val="tx1"/>
                  </w14:solidFill>
                </w14:textFill>
              </w:rPr>
              <w:t>居民满意度</w:t>
            </w:r>
            <w:r>
              <w:rPr>
                <w:rFonts w:ascii="宋体" w:hAnsi="Calibri" w:cs="宋体"/>
                <w:color w:val="000000" w:themeColor="text1"/>
                <w:kern w:val="0"/>
                <w:sz w:val="21"/>
                <w:szCs w:val="21"/>
                <w:highlight w:val="darkCyan"/>
                <w14:textFill>
                  <w14:solidFill>
                    <w14:schemeClr w14:val="tx1"/>
                  </w14:solidFill>
                </w14:textFill>
              </w:rPr>
              <w:t>为</w:t>
            </w:r>
            <w:r>
              <w:rPr>
                <w:rFonts w:hint="eastAsia" w:ascii="宋体" w:hAnsi="Calibri" w:cs="宋体"/>
                <w:color w:val="000000" w:themeColor="text1"/>
                <w:kern w:val="0"/>
                <w:sz w:val="21"/>
                <w:szCs w:val="21"/>
                <w:highlight w:val="darkCyan"/>
                <w14:textFill>
                  <w14:solidFill>
                    <w14:schemeClr w14:val="tx1"/>
                  </w14:solidFill>
                </w14:textFill>
              </w:rPr>
              <w:t>9</w:t>
            </w:r>
            <w:r>
              <w:rPr>
                <w:rFonts w:ascii="宋体" w:hAnsi="Calibri" w:cs="宋体"/>
                <w:color w:val="000000" w:themeColor="text1"/>
                <w:kern w:val="0"/>
                <w:sz w:val="21"/>
                <w:szCs w:val="21"/>
                <w:highlight w:val="darkCyan"/>
                <w14:textFill>
                  <w14:solidFill>
                    <w14:schemeClr w14:val="tx1"/>
                  </w14:solidFill>
                </w14:textFill>
              </w:rPr>
              <w:t>3%</w:t>
            </w:r>
          </w:p>
        </w:tc>
      </w:tr>
      <w:tr>
        <w:tblPrEx>
          <w:tblCellMar>
            <w:top w:w="0" w:type="dxa"/>
            <w:left w:w="30" w:type="dxa"/>
            <w:bottom w:w="0" w:type="dxa"/>
            <w:right w:w="30" w:type="dxa"/>
          </w:tblCellMar>
        </w:tblPrEx>
        <w:trPr>
          <w:trHeight w:val="897"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ind w:firstLine="0" w:firstLineChars="0"/>
              <w:jc w:val="center"/>
              <w:rPr>
                <w:rFonts w:ascii="宋体" w:hAnsi="Calibri" w:cs="宋体"/>
                <w:b/>
                <w:color w:val="000000"/>
                <w:kern w:val="0"/>
                <w:sz w:val="21"/>
                <w:szCs w:val="21"/>
              </w:rPr>
            </w:pPr>
            <w:r>
              <w:rPr>
                <w:rFonts w:hint="eastAsia" w:ascii="宋体" w:hAnsi="Calibri" w:cs="宋体"/>
                <w:b/>
                <w:color w:val="000000"/>
                <w:kern w:val="0"/>
                <w:sz w:val="21"/>
                <w:szCs w:val="21"/>
              </w:rPr>
              <w:t>其他说明的</w:t>
            </w:r>
          </w:p>
          <w:p>
            <w:pPr>
              <w:autoSpaceDE w:val="0"/>
              <w:autoSpaceDN w:val="0"/>
              <w:adjustRightInd w:val="0"/>
              <w:spacing w:line="240" w:lineRule="auto"/>
              <w:ind w:firstLine="0" w:firstLineChars="0"/>
              <w:jc w:val="center"/>
              <w:rPr>
                <w:rFonts w:ascii="宋体" w:hAnsi="Calibri" w:cs="宋体"/>
                <w:color w:val="000000"/>
                <w:kern w:val="0"/>
                <w:sz w:val="21"/>
                <w:szCs w:val="21"/>
              </w:rPr>
            </w:pPr>
            <w:r>
              <w:rPr>
                <w:rFonts w:hint="eastAsia" w:ascii="宋体" w:hAnsi="Calibri" w:cs="宋体"/>
                <w:b/>
                <w:color w:val="000000"/>
                <w:kern w:val="0"/>
                <w:sz w:val="21"/>
                <w:szCs w:val="21"/>
              </w:rPr>
              <w:t>问题</w:t>
            </w:r>
          </w:p>
        </w:tc>
        <w:tc>
          <w:tcPr>
            <w:tcW w:w="8293" w:type="dxa"/>
            <w:gridSpan w:val="3"/>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240" w:lineRule="auto"/>
              <w:ind w:firstLine="0" w:firstLineChars="0"/>
              <w:jc w:val="center"/>
              <w:rPr>
                <w:rFonts w:ascii="宋体" w:hAnsi="Calibri" w:cs="宋体"/>
                <w:color w:val="000000"/>
                <w:kern w:val="0"/>
                <w:sz w:val="18"/>
                <w:szCs w:val="18"/>
              </w:rPr>
            </w:pPr>
            <w:r>
              <w:rPr>
                <w:rFonts w:hint="eastAsia" w:ascii="宋体" w:hAnsi="Calibri" w:cs="宋体"/>
                <w:color w:val="000000"/>
                <w:kern w:val="0"/>
                <w:sz w:val="18"/>
                <w:szCs w:val="18"/>
              </w:rPr>
              <w:t>无</w:t>
            </w:r>
          </w:p>
        </w:tc>
      </w:tr>
    </w:tbl>
    <w:p>
      <w:pPr>
        <w:ind w:firstLine="0" w:firstLineChars="0"/>
      </w:pPr>
    </w:p>
    <w:p>
      <w:pPr>
        <w:ind w:firstLine="480"/>
      </w:pPr>
      <w:r>
        <w:br w:type="page"/>
      </w:r>
    </w:p>
    <w:p>
      <w:pPr>
        <w:ind w:firstLine="198" w:firstLineChars="45"/>
        <w:jc w:val="center"/>
        <w:rPr>
          <w:rFonts w:ascii="方正小标宋_GBK" w:eastAsia="方正小标宋_GBK"/>
          <w:kern w:val="0"/>
          <w:sz w:val="44"/>
          <w:szCs w:val="44"/>
        </w:rPr>
      </w:pPr>
      <w:r>
        <w:rPr>
          <w:rFonts w:hint="eastAsia" w:ascii="方正小标宋_GBK" w:eastAsia="方正小标宋_GBK"/>
          <w:kern w:val="0"/>
          <w:sz w:val="44"/>
          <w:szCs w:val="44"/>
        </w:rPr>
        <w:t>部门整体支出指标体系及评分情况表</w:t>
      </w:r>
    </w:p>
    <w:p>
      <w:pPr>
        <w:ind w:firstLine="420"/>
      </w:pPr>
      <w:r>
        <w:rPr>
          <w:rFonts w:hint="eastAsia" w:ascii="宋体" w:hAnsi="宋体" w:cs="宋体"/>
          <w:bCs/>
          <w:kern w:val="0"/>
          <w:sz w:val="21"/>
          <w:szCs w:val="21"/>
        </w:rPr>
        <w:t>部门名称：</w:t>
      </w:r>
      <w:r>
        <w:rPr>
          <w:rFonts w:hint="eastAsia" w:ascii="宋体" w:hAnsi="Calibri" w:cs="宋体"/>
          <w:color w:val="000000"/>
          <w:kern w:val="0"/>
          <w:sz w:val="21"/>
          <w:szCs w:val="21"/>
        </w:rPr>
        <w:t>北京市海淀区温泉镇人民政府</w:t>
      </w:r>
      <w:r>
        <w:rPr>
          <w:rFonts w:hint="eastAsia" w:ascii="宋体" w:hAnsi="宋体" w:cs="宋体"/>
          <w:bCs/>
          <w:kern w:val="0"/>
          <w:sz w:val="21"/>
          <w:szCs w:val="21"/>
        </w:rPr>
        <w:t xml:space="preserve">                                                                                                </w:t>
      </w:r>
    </w:p>
    <w:tbl>
      <w:tblPr>
        <w:tblStyle w:val="8"/>
        <w:tblW w:w="23970" w:type="dxa"/>
        <w:tblInd w:w="93" w:type="dxa"/>
        <w:tblLayout w:type="fixed"/>
        <w:tblCellMar>
          <w:top w:w="0" w:type="dxa"/>
          <w:left w:w="108" w:type="dxa"/>
          <w:bottom w:w="0" w:type="dxa"/>
          <w:right w:w="108" w:type="dxa"/>
        </w:tblCellMar>
      </w:tblPr>
      <w:tblGrid>
        <w:gridCol w:w="1149"/>
        <w:gridCol w:w="1276"/>
        <w:gridCol w:w="1134"/>
        <w:gridCol w:w="851"/>
        <w:gridCol w:w="3402"/>
        <w:gridCol w:w="1134"/>
        <w:gridCol w:w="9638"/>
        <w:gridCol w:w="5386"/>
      </w:tblGrid>
      <w:tr>
        <w:tblPrEx>
          <w:tblCellMar>
            <w:top w:w="0" w:type="dxa"/>
            <w:left w:w="108" w:type="dxa"/>
            <w:bottom w:w="0" w:type="dxa"/>
            <w:right w:w="108" w:type="dxa"/>
          </w:tblCellMar>
        </w:tblPrEx>
        <w:trPr>
          <w:gridAfter w:val="2"/>
          <w:wAfter w:w="15024" w:type="dxa"/>
          <w:trHeight w:val="456" w:hRule="atLeast"/>
        </w:trPr>
        <w:tc>
          <w:tcPr>
            <w:tcW w:w="1149" w:type="dxa"/>
            <w:tcBorders>
              <w:top w:val="single" w:color="auto" w:sz="4" w:space="0"/>
              <w:left w:val="single" w:color="auto" w:sz="4" w:space="0"/>
              <w:bottom w:val="single" w:color="auto" w:sz="4" w:space="0"/>
              <w:right w:val="single" w:color="auto" w:sz="4" w:space="0"/>
            </w:tcBorders>
            <w:shd w:val="clear" w:color="000000" w:fill="BFBFBF"/>
            <w:vAlign w:val="center"/>
          </w:tcPr>
          <w:p>
            <w:pPr>
              <w:widowControl/>
              <w:spacing w:line="240" w:lineRule="auto"/>
              <w:ind w:firstLine="0" w:firstLineChars="0"/>
              <w:rPr>
                <w:rFonts w:ascii="宋体" w:hAnsi="宋体" w:cs="宋体"/>
                <w:b/>
                <w:bCs/>
                <w:kern w:val="0"/>
                <w:sz w:val="21"/>
                <w:szCs w:val="21"/>
              </w:rPr>
            </w:pPr>
            <w:r>
              <w:rPr>
                <w:rFonts w:hint="eastAsia" w:ascii="宋体" w:hAnsi="宋体" w:cs="宋体"/>
                <w:b/>
                <w:bCs/>
                <w:kern w:val="0"/>
                <w:sz w:val="21"/>
                <w:szCs w:val="21"/>
              </w:rPr>
              <w:t>一级指标</w:t>
            </w:r>
          </w:p>
        </w:tc>
        <w:tc>
          <w:tcPr>
            <w:tcW w:w="1276" w:type="dxa"/>
            <w:tcBorders>
              <w:top w:val="single" w:color="auto" w:sz="4" w:space="0"/>
              <w:left w:val="nil"/>
              <w:bottom w:val="single" w:color="auto" w:sz="4" w:space="0"/>
              <w:right w:val="single" w:color="auto" w:sz="4" w:space="0"/>
            </w:tcBorders>
            <w:shd w:val="clear" w:color="000000" w:fill="BFBFBF"/>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二级指标</w:t>
            </w:r>
          </w:p>
        </w:tc>
        <w:tc>
          <w:tcPr>
            <w:tcW w:w="1134" w:type="dxa"/>
            <w:tcBorders>
              <w:top w:val="single" w:color="auto" w:sz="4" w:space="0"/>
              <w:left w:val="nil"/>
              <w:bottom w:val="single" w:color="auto" w:sz="4" w:space="0"/>
              <w:right w:val="single" w:color="auto" w:sz="4" w:space="0"/>
            </w:tcBorders>
            <w:shd w:val="clear" w:color="000000" w:fill="BFBFBF"/>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三级指标</w:t>
            </w:r>
          </w:p>
        </w:tc>
        <w:tc>
          <w:tcPr>
            <w:tcW w:w="851" w:type="dxa"/>
            <w:tcBorders>
              <w:top w:val="single" w:color="auto" w:sz="4" w:space="0"/>
              <w:left w:val="nil"/>
              <w:bottom w:val="single" w:color="auto" w:sz="4" w:space="0"/>
              <w:right w:val="single" w:color="auto" w:sz="4" w:space="0"/>
            </w:tcBorders>
            <w:shd w:val="clear" w:color="000000" w:fill="BFBFBF"/>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分值</w:t>
            </w:r>
          </w:p>
        </w:tc>
        <w:tc>
          <w:tcPr>
            <w:tcW w:w="3402" w:type="dxa"/>
            <w:tcBorders>
              <w:top w:val="single" w:color="auto" w:sz="4" w:space="0"/>
              <w:left w:val="nil"/>
              <w:bottom w:val="nil"/>
              <w:right w:val="single" w:color="auto" w:sz="4" w:space="0"/>
            </w:tcBorders>
            <w:shd w:val="clear" w:color="000000" w:fill="BFBFBF"/>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指标解释</w:t>
            </w:r>
          </w:p>
        </w:tc>
        <w:tc>
          <w:tcPr>
            <w:tcW w:w="1134" w:type="dxa"/>
            <w:tcBorders>
              <w:top w:val="single" w:color="auto" w:sz="4" w:space="0"/>
              <w:left w:val="nil"/>
              <w:bottom w:val="nil"/>
              <w:right w:val="single" w:color="auto" w:sz="4" w:space="0"/>
            </w:tcBorders>
            <w:shd w:val="clear" w:color="000000" w:fill="BFBFBF"/>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自评得分</w:t>
            </w:r>
          </w:p>
        </w:tc>
      </w:tr>
      <w:tr>
        <w:tblPrEx>
          <w:tblCellMar>
            <w:top w:w="0" w:type="dxa"/>
            <w:left w:w="108" w:type="dxa"/>
            <w:bottom w:w="0" w:type="dxa"/>
            <w:right w:w="108" w:type="dxa"/>
          </w:tblCellMar>
        </w:tblPrEx>
        <w:trPr>
          <w:gridAfter w:val="2"/>
          <w:wAfter w:w="15024" w:type="dxa"/>
          <w:trHeight w:val="454" w:hRule="atLeast"/>
        </w:trPr>
        <w:tc>
          <w:tcPr>
            <w:tcW w:w="114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部门履职</w:t>
            </w:r>
            <w:r>
              <w:rPr>
                <w:rFonts w:hint="eastAsia" w:ascii="宋体" w:hAnsi="宋体" w:cs="宋体"/>
                <w:kern w:val="0"/>
                <w:sz w:val="21"/>
                <w:szCs w:val="21"/>
              </w:rPr>
              <w:br w:type="textWrapping"/>
            </w:r>
            <w:r>
              <w:rPr>
                <w:rFonts w:hint="eastAsia" w:ascii="宋体" w:hAnsi="宋体" w:cs="宋体"/>
                <w:kern w:val="0"/>
                <w:sz w:val="21"/>
                <w:szCs w:val="21"/>
              </w:rPr>
              <w:t>（15分）</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目标设定</w:t>
            </w:r>
            <w:r>
              <w:rPr>
                <w:rFonts w:hint="eastAsia" w:ascii="宋体" w:hAnsi="宋体" w:cs="宋体"/>
                <w:kern w:val="0"/>
                <w:sz w:val="21"/>
                <w:szCs w:val="21"/>
              </w:rPr>
              <w:br w:type="textWrapping"/>
            </w:r>
            <w:r>
              <w:rPr>
                <w:rFonts w:hint="eastAsia" w:ascii="宋体" w:hAnsi="宋体" w:cs="宋体"/>
                <w:kern w:val="0"/>
                <w:sz w:val="21"/>
                <w:szCs w:val="21"/>
              </w:rPr>
              <w:t>（6分）</w:t>
            </w:r>
          </w:p>
        </w:tc>
        <w:tc>
          <w:tcPr>
            <w:tcW w:w="1134"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目标编制</w:t>
            </w:r>
          </w:p>
        </w:tc>
        <w:tc>
          <w:tcPr>
            <w:tcW w:w="851"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340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kern w:val="0"/>
                <w:sz w:val="21"/>
                <w:szCs w:val="21"/>
              </w:rPr>
              <w:t>部门（单位）设立整体绩效目标的依据是否充分，用以反映和考核部门整体绩效目标与部门履职的相符性情况。部门（单位）所设立的整体和项目绩效目标是否符合客观实际，是否清晰、细化、可衡量，用以反映和考核部门（单位）整体绩效目标与年度工作任务的相符性情况和明细化情况。</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single" w:color="auto" w:sz="4" w:space="0"/>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目标覆盖</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2020年100万以上项目全覆盖</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决策过程</w:t>
            </w:r>
            <w:r>
              <w:rPr>
                <w:rFonts w:hint="eastAsia" w:ascii="宋体" w:hAnsi="宋体" w:cs="宋体"/>
                <w:kern w:val="0"/>
                <w:sz w:val="21"/>
                <w:szCs w:val="21"/>
              </w:rPr>
              <w:br w:type="textWrapping"/>
            </w:r>
            <w:r>
              <w:rPr>
                <w:rFonts w:hint="eastAsia" w:ascii="宋体" w:hAnsi="宋体" w:cs="宋体"/>
                <w:kern w:val="0"/>
                <w:sz w:val="21"/>
                <w:szCs w:val="21"/>
              </w:rPr>
              <w:t>（3分）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决策程序</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部门（单位）决策程序是否明确规范，决策依据是否充分，决策风险是否可控，决策责任是否可追溯，用以反映决策程序的有效性。</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资金分配</w:t>
            </w:r>
            <w:r>
              <w:rPr>
                <w:rFonts w:hint="eastAsia" w:ascii="宋体" w:hAnsi="宋体" w:cs="宋体"/>
                <w:kern w:val="0"/>
                <w:sz w:val="21"/>
                <w:szCs w:val="21"/>
              </w:rPr>
              <w:br w:type="textWrapping"/>
            </w:r>
            <w:r>
              <w:rPr>
                <w:rFonts w:hint="eastAsia" w:ascii="宋体" w:hAnsi="宋体" w:cs="宋体"/>
                <w:kern w:val="0"/>
                <w:sz w:val="21"/>
                <w:szCs w:val="21"/>
              </w:rPr>
              <w:t>（6分）</w:t>
            </w:r>
          </w:p>
        </w:tc>
        <w:tc>
          <w:tcPr>
            <w:tcW w:w="1134" w:type="dxa"/>
            <w:tcBorders>
              <w:top w:val="nil"/>
              <w:left w:val="nil"/>
              <w:bottom w:val="nil"/>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分配合理性</w:t>
            </w:r>
          </w:p>
        </w:tc>
        <w:tc>
          <w:tcPr>
            <w:tcW w:w="851" w:type="dxa"/>
            <w:tcBorders>
              <w:top w:val="nil"/>
              <w:left w:val="nil"/>
              <w:bottom w:val="nil"/>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部门（单位）预算编制、分配依据是否充分；与绩效目标一致性、分配结果合理性。</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r>
              <w:rPr>
                <w:rFonts w:ascii="宋体" w:hAnsi="宋体" w:cs="宋体"/>
                <w:color w:val="000000"/>
                <w:kern w:val="0"/>
                <w:sz w:val="21"/>
                <w:szCs w:val="21"/>
              </w:rPr>
              <w:t>.5</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重点支出保障率</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部门（单位）本年度重点项目支出与部门项目总支出的比重，用以反映和考核部门（单位）对履行主要职责或完成重点任务的保障程度。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部门管理</w:t>
            </w:r>
            <w:r>
              <w:rPr>
                <w:rFonts w:hint="eastAsia" w:ascii="宋体" w:hAnsi="宋体" w:cs="宋体"/>
                <w:kern w:val="0"/>
                <w:sz w:val="21"/>
                <w:szCs w:val="21"/>
              </w:rPr>
              <w:br w:type="textWrapping"/>
            </w:r>
            <w:r>
              <w:rPr>
                <w:rFonts w:hint="eastAsia" w:ascii="宋体" w:hAnsi="宋体" w:cs="宋体"/>
                <w:kern w:val="0"/>
                <w:sz w:val="21"/>
                <w:szCs w:val="21"/>
              </w:rPr>
              <w:t>（40分）</w:t>
            </w:r>
          </w:p>
        </w:tc>
        <w:tc>
          <w:tcPr>
            <w:tcW w:w="12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预算执行</w:t>
            </w:r>
            <w:r>
              <w:rPr>
                <w:rFonts w:hint="eastAsia" w:ascii="宋体" w:hAnsi="宋体" w:cs="宋体"/>
                <w:kern w:val="0"/>
                <w:sz w:val="21"/>
                <w:szCs w:val="21"/>
              </w:rPr>
              <w:br w:type="textWrapping"/>
            </w:r>
            <w:r>
              <w:rPr>
                <w:rFonts w:hint="eastAsia" w:ascii="宋体" w:hAnsi="宋体" w:cs="宋体"/>
                <w:kern w:val="0"/>
                <w:sz w:val="21"/>
                <w:szCs w:val="21"/>
              </w:rPr>
              <w:t>（12分）</w:t>
            </w: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支出预算执行率</w:t>
            </w:r>
          </w:p>
        </w:tc>
        <w:tc>
          <w:tcPr>
            <w:tcW w:w="851"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部门（单位）本年度支出预算执行数与财政预算下达数的比率，用以反映和考核部门（单位）预算支出完成程度。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r>
              <w:rPr>
                <w:rFonts w:ascii="宋体" w:hAnsi="宋体" w:cs="宋体"/>
                <w:color w:val="000000"/>
                <w:kern w:val="0"/>
                <w:sz w:val="21"/>
                <w:szCs w:val="21"/>
              </w:rPr>
              <w:t>.5</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支出预算调整率</w:t>
            </w:r>
          </w:p>
        </w:tc>
        <w:tc>
          <w:tcPr>
            <w:tcW w:w="851"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部门（单位）本年度支出预算调整数与支出预算数的比率，用以反映和考核部门（单位）预算支出的调整程度。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w:t>
            </w:r>
            <w:r>
              <w:rPr>
                <w:rFonts w:ascii="宋体" w:hAnsi="宋体" w:cs="宋体"/>
                <w:color w:val="000000"/>
                <w:kern w:val="0"/>
                <w:sz w:val="21"/>
                <w:szCs w:val="21"/>
              </w:rPr>
              <w:t>.5</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结转结余率</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部门（单位）本年度结转结余总额与支出预算数的比率，用以反映和考核部门（单位）对结转结余资金的实际控制程度。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结转结余变动率</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部门（单位）本年度结转结余资金总额与上年度结转结余资金总额的变动比率，用以反映和考核部门（单位）对控制结转结余资金的努力程度。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政府采购执行率</w:t>
            </w:r>
          </w:p>
        </w:tc>
        <w:tc>
          <w:tcPr>
            <w:tcW w:w="851"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部门（单位）本年度实际政府采购金额与年初政府采购预算的比率，用以反映和考核部门（单位）政府采购预算执行情况。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预算管理</w:t>
            </w:r>
            <w:r>
              <w:rPr>
                <w:rFonts w:hint="eastAsia" w:ascii="宋体" w:hAnsi="宋体" w:cs="宋体"/>
                <w:kern w:val="0"/>
                <w:sz w:val="21"/>
                <w:szCs w:val="21"/>
              </w:rPr>
              <w:br w:type="textWrapping"/>
            </w:r>
            <w:r>
              <w:rPr>
                <w:rFonts w:hint="eastAsia" w:ascii="宋体" w:hAnsi="宋体" w:cs="宋体"/>
                <w:kern w:val="0"/>
                <w:sz w:val="21"/>
                <w:szCs w:val="21"/>
              </w:rPr>
              <w:t>（15分）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管理制度健全性</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部门（单位）为加强预算绩效管理、规范财务行为而制定的管理制度是否健全完整，用以反映和考核部门（单位）预算绩效管理制度对完成主要职责或促进事业发展的保障情况。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资金使用合规性和安全性</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部门（单位）使用预算资金是否符合相关的预算财务管理制度的规定，是否符合相关规定的开支范围，用以反映考核部门（单位）预算资金的规范运行和安全运行情况。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4</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三公经费控制情况</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部门公务接待、公务用车、公款出国费用的控制情况是否符合财政部门当年的预算要求和相关管理制度要求。</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预算信息公开性</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部门（单位）是否按照政府信息公开有关规定公开相关预算信息，用以考核部门（单位）预算管理的公开透明情况。</w:t>
            </w:r>
          </w:p>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预算信息是指与部门预算、执行、监督、绩效等管理相关的信息。</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基础信息完善性</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部门（单位）基础信息是否完善，用以反映和考核基础信息对预算管理工作的支撑情况。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绩效管理</w:t>
            </w:r>
            <w:r>
              <w:rPr>
                <w:rFonts w:hint="eastAsia" w:ascii="宋体" w:hAnsi="宋体" w:cs="宋体"/>
                <w:kern w:val="0"/>
                <w:sz w:val="21"/>
                <w:szCs w:val="21"/>
              </w:rPr>
              <w:br w:type="textWrapping"/>
            </w:r>
            <w:r>
              <w:rPr>
                <w:rFonts w:hint="eastAsia" w:ascii="宋体" w:hAnsi="宋体" w:cs="宋体"/>
                <w:kern w:val="0"/>
                <w:sz w:val="21"/>
                <w:szCs w:val="21"/>
              </w:rPr>
              <w:t>（8分）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组织机构</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部门（单位）对绩效管理相关组织机构的设立情况。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绩效信息</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5</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部门（单位）在绩效管理信息的收集、汇总和上报情况。</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4.5</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资产管理</w:t>
            </w:r>
            <w:r>
              <w:rPr>
                <w:rFonts w:hint="eastAsia" w:ascii="宋体" w:hAnsi="宋体" w:cs="宋体"/>
                <w:kern w:val="0"/>
                <w:sz w:val="21"/>
                <w:szCs w:val="21"/>
              </w:rPr>
              <w:br w:type="textWrapping"/>
            </w:r>
            <w:r>
              <w:rPr>
                <w:rFonts w:hint="eastAsia" w:ascii="宋体" w:hAnsi="宋体" w:cs="宋体"/>
                <w:kern w:val="0"/>
                <w:sz w:val="21"/>
                <w:szCs w:val="21"/>
              </w:rPr>
              <w:t>（5分）</w:t>
            </w:r>
          </w:p>
        </w:tc>
        <w:tc>
          <w:tcPr>
            <w:tcW w:w="1134"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资产管理规范性</w:t>
            </w:r>
          </w:p>
        </w:tc>
        <w:tc>
          <w:tcPr>
            <w:tcW w:w="851" w:type="dxa"/>
            <w:tcBorders>
              <w:top w:val="nil"/>
              <w:left w:val="nil"/>
              <w:bottom w:val="nil"/>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部门（单位）的资产是否保持安全完整，资产配置是否合理，资产使用和资产处理是否规范，用以反映和考核部门（单位）资产管理的整体水平。</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w:t>
            </w:r>
            <w:r>
              <w:rPr>
                <w:rFonts w:ascii="宋体" w:hAnsi="宋体" w:cs="宋体"/>
                <w:color w:val="000000"/>
                <w:kern w:val="0"/>
                <w:sz w:val="21"/>
                <w:szCs w:val="21"/>
              </w:rPr>
              <w:t>.5</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固定资产利用率</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部门（单位）固定资产使用效率程度。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1.5</w:t>
            </w:r>
          </w:p>
        </w:tc>
      </w:tr>
      <w:tr>
        <w:tblPrEx>
          <w:tblCellMar>
            <w:top w:w="0" w:type="dxa"/>
            <w:left w:w="108" w:type="dxa"/>
            <w:bottom w:w="0" w:type="dxa"/>
            <w:right w:w="108" w:type="dxa"/>
          </w:tblCellMar>
        </w:tblPrEx>
        <w:trPr>
          <w:gridAfter w:val="2"/>
          <w:wAfter w:w="15024" w:type="dxa"/>
          <w:trHeight w:val="454" w:hRule="atLeast"/>
        </w:trPr>
        <w:tc>
          <w:tcPr>
            <w:tcW w:w="114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部门绩效</w:t>
            </w:r>
            <w:r>
              <w:rPr>
                <w:rFonts w:hint="eastAsia" w:ascii="宋体" w:hAnsi="宋体" w:cs="宋体"/>
                <w:kern w:val="0"/>
                <w:sz w:val="21"/>
                <w:szCs w:val="21"/>
              </w:rPr>
              <w:br w:type="textWrapping"/>
            </w:r>
            <w:r>
              <w:rPr>
                <w:rFonts w:hint="eastAsia" w:ascii="宋体" w:hAnsi="宋体" w:cs="宋体"/>
                <w:kern w:val="0"/>
                <w:sz w:val="21"/>
                <w:szCs w:val="21"/>
              </w:rPr>
              <w:t>（45分）</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履职产出</w:t>
            </w:r>
            <w:r>
              <w:rPr>
                <w:rFonts w:hint="eastAsia" w:ascii="宋体" w:hAnsi="宋体" w:cs="宋体"/>
                <w:kern w:val="0"/>
                <w:sz w:val="21"/>
                <w:szCs w:val="21"/>
              </w:rPr>
              <w:br w:type="textWrapping"/>
            </w:r>
            <w:r>
              <w:rPr>
                <w:rFonts w:hint="eastAsia" w:ascii="宋体" w:hAnsi="宋体" w:cs="宋体"/>
                <w:kern w:val="0"/>
                <w:sz w:val="21"/>
                <w:szCs w:val="21"/>
              </w:rPr>
              <w:t>（25分）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各职能单元产出完成情况</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25</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部门（单位）各项职能单元（工作）产出数量是否达到绩效目标或相关行业指标。根据部门（单位）实际工作情况进行设置。</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24</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履职效果</w:t>
            </w:r>
            <w:r>
              <w:rPr>
                <w:rFonts w:hint="eastAsia" w:ascii="宋体" w:hAnsi="宋体" w:cs="宋体"/>
                <w:kern w:val="0"/>
                <w:sz w:val="21"/>
                <w:szCs w:val="21"/>
              </w:rPr>
              <w:br w:type="textWrapping"/>
            </w:r>
            <w:r>
              <w:rPr>
                <w:rFonts w:hint="eastAsia" w:ascii="宋体" w:hAnsi="宋体" w:cs="宋体"/>
                <w:kern w:val="0"/>
                <w:sz w:val="21"/>
                <w:szCs w:val="21"/>
              </w:rPr>
              <w:t>（20分）</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职能实现效果</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14</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部门（单位）相关工作在某些方面所产生的效果。</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13</w:t>
            </w:r>
          </w:p>
        </w:tc>
      </w:tr>
      <w:tr>
        <w:tblPrEx>
          <w:tblCellMar>
            <w:top w:w="0" w:type="dxa"/>
            <w:left w:w="108" w:type="dxa"/>
            <w:bottom w:w="0" w:type="dxa"/>
            <w:right w:w="108" w:type="dxa"/>
          </w:tblCellMar>
        </w:tblPrEx>
        <w:trPr>
          <w:gridAfter w:val="2"/>
          <w:wAfter w:w="15024" w:type="dxa"/>
          <w:trHeight w:val="454" w:hRule="atLeast"/>
        </w:trPr>
        <w:tc>
          <w:tcPr>
            <w:tcW w:w="1149"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服务对象满意度</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6</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r>
              <w:rPr>
                <w:rFonts w:hint="eastAsia" w:ascii="宋体" w:hAnsi="宋体" w:cs="宋体"/>
                <w:color w:val="000000"/>
                <w:kern w:val="0"/>
                <w:sz w:val="21"/>
                <w:szCs w:val="21"/>
              </w:rPr>
              <w:t>部门（单位）的服务对象对部门履职效果的满意程度。</w:t>
            </w:r>
          </w:p>
        </w:tc>
        <w:tc>
          <w:tcPr>
            <w:tcW w:w="1134"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5</w:t>
            </w:r>
          </w:p>
        </w:tc>
      </w:tr>
      <w:tr>
        <w:tblPrEx>
          <w:tblCellMar>
            <w:top w:w="0" w:type="dxa"/>
            <w:left w:w="108" w:type="dxa"/>
            <w:bottom w:w="0" w:type="dxa"/>
            <w:right w:w="108" w:type="dxa"/>
          </w:tblCellMar>
        </w:tblPrEx>
        <w:trPr>
          <w:trHeight w:val="454" w:hRule="atLeast"/>
        </w:trPr>
        <w:tc>
          <w:tcPr>
            <w:tcW w:w="355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合计</w:t>
            </w:r>
          </w:p>
        </w:tc>
        <w:tc>
          <w:tcPr>
            <w:tcW w:w="85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100</w:t>
            </w:r>
          </w:p>
        </w:tc>
        <w:tc>
          <w:tcPr>
            <w:tcW w:w="3402" w:type="dxa"/>
            <w:tcBorders>
              <w:top w:val="nil"/>
              <w:left w:val="nil"/>
              <w:bottom w:val="single" w:color="auto" w:sz="4" w:space="0"/>
              <w:right w:val="single" w:color="auto" w:sz="4" w:space="0"/>
            </w:tcBorders>
            <w:vAlign w:val="center"/>
          </w:tcPr>
          <w:p>
            <w:pPr>
              <w:widowControl/>
              <w:spacing w:line="240" w:lineRule="auto"/>
              <w:ind w:firstLine="0" w:firstLineChars="0"/>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tcPr>
          <w:p>
            <w:pPr>
              <w:widowControl/>
              <w:spacing w:line="240" w:lineRule="auto"/>
              <w:ind w:left="0" w:leftChars="0" w:firstLine="210" w:firstLineChars="100"/>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93</w:t>
            </w:r>
          </w:p>
        </w:tc>
        <w:tc>
          <w:tcPr>
            <w:tcW w:w="9638" w:type="dxa"/>
            <w:tcBorders>
              <w:top w:val="nil"/>
              <w:left w:val="nil"/>
              <w:bottom w:val="single" w:color="auto" w:sz="4" w:space="0"/>
              <w:right w:val="single" w:color="auto" w:sz="4" w:space="0"/>
            </w:tcBorders>
          </w:tcPr>
          <w:p>
            <w:pPr>
              <w:widowControl/>
              <w:spacing w:line="240" w:lineRule="auto"/>
              <w:ind w:firstLine="0" w:firstLineChars="0"/>
              <w:rPr>
                <w:rFonts w:ascii="宋体" w:hAnsi="宋体" w:cs="宋体"/>
                <w:color w:val="000000"/>
                <w:kern w:val="0"/>
                <w:sz w:val="21"/>
                <w:szCs w:val="21"/>
              </w:rPr>
            </w:pPr>
          </w:p>
        </w:tc>
        <w:tc>
          <w:tcPr>
            <w:tcW w:w="5386" w:type="dxa"/>
            <w:tcBorders>
              <w:top w:val="nil"/>
              <w:left w:val="nil"/>
              <w:bottom w:val="single" w:color="auto" w:sz="4" w:space="0"/>
              <w:right w:val="single" w:color="auto" w:sz="4" w:space="0"/>
            </w:tcBorders>
            <w:vAlign w:val="top"/>
          </w:tcPr>
          <w:p>
            <w:pPr>
              <w:widowControl/>
              <w:spacing w:line="240" w:lineRule="auto"/>
              <w:ind w:firstLine="0" w:firstLineChars="0"/>
              <w:jc w:val="cente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93</w:t>
            </w:r>
          </w:p>
        </w:tc>
      </w:tr>
    </w:tbl>
    <w:p>
      <w:pPr>
        <w:ind w:firstLine="199" w:firstLineChars="83"/>
      </w:pP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E1B5B"/>
    <w:multiLevelType w:val="multilevel"/>
    <w:tmpl w:val="359E1B5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B389A"/>
    <w:multiLevelType w:val="multilevel"/>
    <w:tmpl w:val="5DAB389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E3793"/>
    <w:multiLevelType w:val="multilevel"/>
    <w:tmpl w:val="6E1E379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MjJlZWI4OGUxMTgwZDViNzViY2IwZGI2ODljNTMifQ=="/>
  </w:docVars>
  <w:rsids>
    <w:rsidRoot w:val="006C12CD"/>
    <w:rsid w:val="00004143"/>
    <w:rsid w:val="00004643"/>
    <w:rsid w:val="000138AD"/>
    <w:rsid w:val="00027321"/>
    <w:rsid w:val="00063121"/>
    <w:rsid w:val="0006472B"/>
    <w:rsid w:val="000847F4"/>
    <w:rsid w:val="000A7482"/>
    <w:rsid w:val="000C044F"/>
    <w:rsid w:val="000D251D"/>
    <w:rsid w:val="000D7C34"/>
    <w:rsid w:val="000F1E6B"/>
    <w:rsid w:val="000F481D"/>
    <w:rsid w:val="00101AD1"/>
    <w:rsid w:val="001048A7"/>
    <w:rsid w:val="001065E4"/>
    <w:rsid w:val="00107D54"/>
    <w:rsid w:val="00121620"/>
    <w:rsid w:val="0012280E"/>
    <w:rsid w:val="00124719"/>
    <w:rsid w:val="00132B3D"/>
    <w:rsid w:val="00136BDD"/>
    <w:rsid w:val="00141C36"/>
    <w:rsid w:val="00157E96"/>
    <w:rsid w:val="001652D3"/>
    <w:rsid w:val="00172F72"/>
    <w:rsid w:val="001A0AB3"/>
    <w:rsid w:val="001B53B9"/>
    <w:rsid w:val="001B6147"/>
    <w:rsid w:val="001C27EE"/>
    <w:rsid w:val="001C4B54"/>
    <w:rsid w:val="001C7A6E"/>
    <w:rsid w:val="001D4FF6"/>
    <w:rsid w:val="001D7543"/>
    <w:rsid w:val="001E5027"/>
    <w:rsid w:val="001F0233"/>
    <w:rsid w:val="001F16D3"/>
    <w:rsid w:val="001F1BB0"/>
    <w:rsid w:val="00204AF6"/>
    <w:rsid w:val="0021293D"/>
    <w:rsid w:val="0024163E"/>
    <w:rsid w:val="002421F4"/>
    <w:rsid w:val="002455CE"/>
    <w:rsid w:val="00250BEE"/>
    <w:rsid w:val="00251218"/>
    <w:rsid w:val="00255E4D"/>
    <w:rsid w:val="002563BB"/>
    <w:rsid w:val="002567DD"/>
    <w:rsid w:val="002723B4"/>
    <w:rsid w:val="002770FE"/>
    <w:rsid w:val="00286B71"/>
    <w:rsid w:val="0029002A"/>
    <w:rsid w:val="002901D1"/>
    <w:rsid w:val="00293971"/>
    <w:rsid w:val="002A0BBE"/>
    <w:rsid w:val="002B4F8E"/>
    <w:rsid w:val="002C1490"/>
    <w:rsid w:val="002C4284"/>
    <w:rsid w:val="002D2C6A"/>
    <w:rsid w:val="002E5234"/>
    <w:rsid w:val="002F182C"/>
    <w:rsid w:val="002F2752"/>
    <w:rsid w:val="002F5B53"/>
    <w:rsid w:val="002F5F52"/>
    <w:rsid w:val="002F7137"/>
    <w:rsid w:val="00307E9C"/>
    <w:rsid w:val="00310CAF"/>
    <w:rsid w:val="00316A0D"/>
    <w:rsid w:val="00323CF9"/>
    <w:rsid w:val="00327E63"/>
    <w:rsid w:val="00336795"/>
    <w:rsid w:val="003375D7"/>
    <w:rsid w:val="003403B0"/>
    <w:rsid w:val="00341C77"/>
    <w:rsid w:val="0034301F"/>
    <w:rsid w:val="003545BA"/>
    <w:rsid w:val="0036456A"/>
    <w:rsid w:val="0036570D"/>
    <w:rsid w:val="00391159"/>
    <w:rsid w:val="00394120"/>
    <w:rsid w:val="00396841"/>
    <w:rsid w:val="003A11CE"/>
    <w:rsid w:val="003A2882"/>
    <w:rsid w:val="003C62E5"/>
    <w:rsid w:val="003F28ED"/>
    <w:rsid w:val="003F2E94"/>
    <w:rsid w:val="00412BA0"/>
    <w:rsid w:val="00441C42"/>
    <w:rsid w:val="00447816"/>
    <w:rsid w:val="004514BC"/>
    <w:rsid w:val="00456241"/>
    <w:rsid w:val="00466F79"/>
    <w:rsid w:val="00477A2A"/>
    <w:rsid w:val="00487694"/>
    <w:rsid w:val="004A26A7"/>
    <w:rsid w:val="004B06D0"/>
    <w:rsid w:val="004B4820"/>
    <w:rsid w:val="004F0719"/>
    <w:rsid w:val="005029A9"/>
    <w:rsid w:val="005042D5"/>
    <w:rsid w:val="00507942"/>
    <w:rsid w:val="00513535"/>
    <w:rsid w:val="005263D1"/>
    <w:rsid w:val="00531ABA"/>
    <w:rsid w:val="00545035"/>
    <w:rsid w:val="00547946"/>
    <w:rsid w:val="00552DCA"/>
    <w:rsid w:val="00562917"/>
    <w:rsid w:val="00566EC4"/>
    <w:rsid w:val="00570961"/>
    <w:rsid w:val="005778F7"/>
    <w:rsid w:val="00584B77"/>
    <w:rsid w:val="005906BF"/>
    <w:rsid w:val="00592E79"/>
    <w:rsid w:val="005B43D6"/>
    <w:rsid w:val="005B4822"/>
    <w:rsid w:val="005E3029"/>
    <w:rsid w:val="005E6682"/>
    <w:rsid w:val="005E7D71"/>
    <w:rsid w:val="005F43F0"/>
    <w:rsid w:val="005F75B0"/>
    <w:rsid w:val="006033F4"/>
    <w:rsid w:val="00620CD1"/>
    <w:rsid w:val="00626B6B"/>
    <w:rsid w:val="00627002"/>
    <w:rsid w:val="0067700B"/>
    <w:rsid w:val="00684398"/>
    <w:rsid w:val="006A26F7"/>
    <w:rsid w:val="006B5347"/>
    <w:rsid w:val="006C12CD"/>
    <w:rsid w:val="006C3344"/>
    <w:rsid w:val="006C745D"/>
    <w:rsid w:val="006E4FA9"/>
    <w:rsid w:val="006F0CE9"/>
    <w:rsid w:val="006F4E22"/>
    <w:rsid w:val="007029D2"/>
    <w:rsid w:val="00704F45"/>
    <w:rsid w:val="0072679E"/>
    <w:rsid w:val="00734CC9"/>
    <w:rsid w:val="007430E1"/>
    <w:rsid w:val="00763228"/>
    <w:rsid w:val="00767A62"/>
    <w:rsid w:val="00780A68"/>
    <w:rsid w:val="00797FE1"/>
    <w:rsid w:val="007A7C55"/>
    <w:rsid w:val="007B3421"/>
    <w:rsid w:val="007B3B1B"/>
    <w:rsid w:val="007B7B8E"/>
    <w:rsid w:val="007F1A2F"/>
    <w:rsid w:val="007F20B6"/>
    <w:rsid w:val="007F53AF"/>
    <w:rsid w:val="007F78BA"/>
    <w:rsid w:val="00801819"/>
    <w:rsid w:val="008022D8"/>
    <w:rsid w:val="008060B8"/>
    <w:rsid w:val="00810ECF"/>
    <w:rsid w:val="008215C5"/>
    <w:rsid w:val="00827737"/>
    <w:rsid w:val="00835671"/>
    <w:rsid w:val="00841337"/>
    <w:rsid w:val="008419BE"/>
    <w:rsid w:val="0085287A"/>
    <w:rsid w:val="00855F88"/>
    <w:rsid w:val="00871A87"/>
    <w:rsid w:val="00883EEA"/>
    <w:rsid w:val="00884FF1"/>
    <w:rsid w:val="00886AA7"/>
    <w:rsid w:val="0088761C"/>
    <w:rsid w:val="00890BF0"/>
    <w:rsid w:val="00890F52"/>
    <w:rsid w:val="008A70C6"/>
    <w:rsid w:val="008B662F"/>
    <w:rsid w:val="008D1594"/>
    <w:rsid w:val="008D33A4"/>
    <w:rsid w:val="008D35F7"/>
    <w:rsid w:val="008E1883"/>
    <w:rsid w:val="008E54FD"/>
    <w:rsid w:val="008F36A5"/>
    <w:rsid w:val="008F636E"/>
    <w:rsid w:val="008F7975"/>
    <w:rsid w:val="00905346"/>
    <w:rsid w:val="0090713F"/>
    <w:rsid w:val="00930F68"/>
    <w:rsid w:val="00931334"/>
    <w:rsid w:val="00943A8B"/>
    <w:rsid w:val="009509DF"/>
    <w:rsid w:val="00957ED4"/>
    <w:rsid w:val="00960B42"/>
    <w:rsid w:val="00963055"/>
    <w:rsid w:val="0096771B"/>
    <w:rsid w:val="00967E93"/>
    <w:rsid w:val="0097150B"/>
    <w:rsid w:val="00976682"/>
    <w:rsid w:val="00996A78"/>
    <w:rsid w:val="009A0595"/>
    <w:rsid w:val="009C1235"/>
    <w:rsid w:val="009D271F"/>
    <w:rsid w:val="009D5040"/>
    <w:rsid w:val="009D625E"/>
    <w:rsid w:val="009E4FAF"/>
    <w:rsid w:val="009F304D"/>
    <w:rsid w:val="009F738B"/>
    <w:rsid w:val="00A01AE7"/>
    <w:rsid w:val="00A07FB5"/>
    <w:rsid w:val="00A22649"/>
    <w:rsid w:val="00A31CEB"/>
    <w:rsid w:val="00A36DD9"/>
    <w:rsid w:val="00A43254"/>
    <w:rsid w:val="00A46DA0"/>
    <w:rsid w:val="00A50A56"/>
    <w:rsid w:val="00A662D0"/>
    <w:rsid w:val="00A74B9B"/>
    <w:rsid w:val="00A86C81"/>
    <w:rsid w:val="00A9279B"/>
    <w:rsid w:val="00A969BF"/>
    <w:rsid w:val="00AA5F6B"/>
    <w:rsid w:val="00AC0441"/>
    <w:rsid w:val="00AD02C2"/>
    <w:rsid w:val="00AE4EC9"/>
    <w:rsid w:val="00B02714"/>
    <w:rsid w:val="00B40EDD"/>
    <w:rsid w:val="00B458E7"/>
    <w:rsid w:val="00B579EB"/>
    <w:rsid w:val="00B6178D"/>
    <w:rsid w:val="00B674D6"/>
    <w:rsid w:val="00B8127F"/>
    <w:rsid w:val="00B93870"/>
    <w:rsid w:val="00BA3CD1"/>
    <w:rsid w:val="00BB1D54"/>
    <w:rsid w:val="00BB6C44"/>
    <w:rsid w:val="00BD7717"/>
    <w:rsid w:val="00BE0E09"/>
    <w:rsid w:val="00BE485D"/>
    <w:rsid w:val="00C16169"/>
    <w:rsid w:val="00C2090F"/>
    <w:rsid w:val="00C30C8E"/>
    <w:rsid w:val="00C4182B"/>
    <w:rsid w:val="00C47BB0"/>
    <w:rsid w:val="00C52D70"/>
    <w:rsid w:val="00C5459F"/>
    <w:rsid w:val="00C720AF"/>
    <w:rsid w:val="00C76880"/>
    <w:rsid w:val="00C80B21"/>
    <w:rsid w:val="00C9245F"/>
    <w:rsid w:val="00C93C9B"/>
    <w:rsid w:val="00C949EC"/>
    <w:rsid w:val="00CA1490"/>
    <w:rsid w:val="00CE2DC3"/>
    <w:rsid w:val="00CF5F33"/>
    <w:rsid w:val="00D04011"/>
    <w:rsid w:val="00D12E09"/>
    <w:rsid w:val="00D34D79"/>
    <w:rsid w:val="00D51357"/>
    <w:rsid w:val="00D539AF"/>
    <w:rsid w:val="00D60181"/>
    <w:rsid w:val="00D75380"/>
    <w:rsid w:val="00D82CF4"/>
    <w:rsid w:val="00DA2898"/>
    <w:rsid w:val="00DC0454"/>
    <w:rsid w:val="00DC5A9F"/>
    <w:rsid w:val="00DE2FDA"/>
    <w:rsid w:val="00DE65A9"/>
    <w:rsid w:val="00DF1285"/>
    <w:rsid w:val="00E05EED"/>
    <w:rsid w:val="00E12466"/>
    <w:rsid w:val="00E16DFF"/>
    <w:rsid w:val="00E30C29"/>
    <w:rsid w:val="00E32408"/>
    <w:rsid w:val="00E3461B"/>
    <w:rsid w:val="00E43C48"/>
    <w:rsid w:val="00E648F9"/>
    <w:rsid w:val="00E65332"/>
    <w:rsid w:val="00E670DD"/>
    <w:rsid w:val="00E7281D"/>
    <w:rsid w:val="00E86393"/>
    <w:rsid w:val="00E9195E"/>
    <w:rsid w:val="00EA2666"/>
    <w:rsid w:val="00EB779A"/>
    <w:rsid w:val="00ED316C"/>
    <w:rsid w:val="00EE076A"/>
    <w:rsid w:val="00EF04A7"/>
    <w:rsid w:val="00EF4E23"/>
    <w:rsid w:val="00F15667"/>
    <w:rsid w:val="00F1789D"/>
    <w:rsid w:val="00F23193"/>
    <w:rsid w:val="00F369EE"/>
    <w:rsid w:val="00F47F90"/>
    <w:rsid w:val="00F55D28"/>
    <w:rsid w:val="00F62609"/>
    <w:rsid w:val="00F8037A"/>
    <w:rsid w:val="00F943EE"/>
    <w:rsid w:val="00F9661B"/>
    <w:rsid w:val="00FA654A"/>
    <w:rsid w:val="00FB0568"/>
    <w:rsid w:val="00FB3267"/>
    <w:rsid w:val="00FC568D"/>
    <w:rsid w:val="00FF08A1"/>
    <w:rsid w:val="1EB202A6"/>
    <w:rsid w:val="20B120D5"/>
    <w:rsid w:val="27E3658D"/>
    <w:rsid w:val="3C6444EB"/>
    <w:rsid w:val="3ED80049"/>
    <w:rsid w:val="4CAE553B"/>
    <w:rsid w:val="5B805F06"/>
    <w:rsid w:val="61767F0E"/>
    <w:rsid w:val="6510781A"/>
    <w:rsid w:val="6A0918CC"/>
    <w:rsid w:val="6EDC1CD9"/>
    <w:rsid w:val="76522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2"/>
    <w:basedOn w:val="1"/>
    <w:next w:val="1"/>
    <w:link w:val="10"/>
    <w:qFormat/>
    <w:uiPriority w:val="0"/>
    <w:pPr>
      <w:keepNext/>
      <w:keepLines/>
      <w:ind w:firstLine="0" w:firstLineChars="0"/>
      <w:jc w:val="center"/>
      <w:outlineLvl w:val="1"/>
    </w:pPr>
    <w:rPr>
      <w:rFonts w:ascii="Cambria" w:hAnsi="Cambria"/>
      <w:b/>
      <w:bCs/>
      <w:sz w:val="36"/>
      <w:szCs w:val="32"/>
    </w:rPr>
  </w:style>
  <w:style w:type="paragraph" w:styleId="3">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2"/>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customStyle="1" w:styleId="10">
    <w:name w:val="标题 2 Char"/>
    <w:basedOn w:val="9"/>
    <w:link w:val="2"/>
    <w:qFormat/>
    <w:uiPriority w:val="0"/>
    <w:rPr>
      <w:rFonts w:ascii="Cambria" w:hAnsi="Cambria" w:eastAsia="宋体" w:cs="Times New Roman"/>
      <w:b/>
      <w:bCs/>
      <w:sz w:val="36"/>
      <w:szCs w:val="32"/>
    </w:rPr>
  </w:style>
  <w:style w:type="character" w:customStyle="1" w:styleId="11">
    <w:name w:val="页眉 Char"/>
    <w:basedOn w:val="9"/>
    <w:link w:val="6"/>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标题 3 Char"/>
    <w:basedOn w:val="9"/>
    <w:link w:val="3"/>
    <w:qFormat/>
    <w:uiPriority w:val="9"/>
    <w:rPr>
      <w:rFonts w:ascii="Times New Roman" w:hAnsi="Times New Roman" w:eastAsia="宋体" w:cs="Times New Roman"/>
      <w:b/>
      <w:bCs/>
      <w:sz w:val="32"/>
      <w:szCs w:val="32"/>
    </w:rPr>
  </w:style>
  <w:style w:type="character" w:customStyle="1" w:styleId="14">
    <w:name w:val="批注框文本 Char"/>
    <w:basedOn w:val="9"/>
    <w:link w:val="4"/>
    <w:semiHidden/>
    <w:uiPriority w:val="99"/>
    <w:rPr>
      <w:rFonts w:ascii="Times New Roman" w:hAnsi="Times New Roman" w:eastAsia="宋体" w:cs="Times New Roman"/>
      <w:sz w:val="18"/>
      <w:szCs w:val="18"/>
    </w:rPr>
  </w:style>
  <w:style w:type="paragraph" w:customStyle="1" w:styleId="15">
    <w:name w:val="Body Text First Indent 21"/>
    <w:basedOn w:val="16"/>
    <w:qFormat/>
    <w:uiPriority w:val="0"/>
    <w:pPr>
      <w:ind w:firstLine="420"/>
    </w:pPr>
  </w:style>
  <w:style w:type="paragraph" w:customStyle="1" w:styleId="16">
    <w:name w:val="Body Text Indent1"/>
    <w:basedOn w:val="1"/>
    <w:qFormat/>
    <w:uiPriority w:val="0"/>
    <w:pPr>
      <w:spacing w:after="120"/>
      <w:ind w:left="420" w:leftChars="200"/>
    </w:pPr>
  </w:style>
  <w:style w:type="paragraph" w:styleId="1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5B14-FA78-4C51-B599-4402A773B8D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3231</Words>
  <Characters>3316</Characters>
  <Lines>13</Lines>
  <Paragraphs>3</Paragraphs>
  <TotalTime>0</TotalTime>
  <ScaleCrop>false</ScaleCrop>
  <LinksUpToDate>false</LinksUpToDate>
  <CharactersWithSpaces>3412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2019-09-27T01:10:00Z</dcterms:created>
  <dc:creator>刘宁凤</dc:creator>
  <cp:lastModifiedBy>WPS_1508492829</cp:lastModifiedBy>
  <cp:lastPrinted>2019-09-29T06:44:00Z</cp:lastPrinted>
  <dcterms:modified xsi:type="dcterms:W3CDTF">2022-11-19T11:06:53Z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1B85BFC930CC4205B226DDE3720D1358</vt:lpwstr>
  </property>
</Properties>
</file>