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jc w:val="center"/>
        <w:textAlignment w:val="auto"/>
        <w:rPr>
          <w:rFonts w:hint="default" w:ascii="Times New Roman Regular" w:hAnsi="Times New Roman Regular" w:eastAsia="等线" w:cs="Times New Roman Regular"/>
          <w:color w:val="333333"/>
          <w:sz w:val="22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sz w:val="44"/>
        </w:rPr>
        <w:t>政 府 工 作 报 告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jc w:val="center"/>
        <w:textAlignment w:val="auto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" w:cs="Times New Roman Regular"/>
          <w:color w:val="000000"/>
          <w:sz w:val="32"/>
        </w:rPr>
        <w:t>——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在东升镇第三届人民代表大会第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次会议上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jc w:val="center"/>
        <w:textAlignment w:val="auto"/>
        <w:rPr>
          <w:rFonts w:hint="default" w:ascii="Times New Roman Regular" w:hAnsi="Times New Roman Regular" w:eastAsia="楷体_GB2312" w:cs="Times New Roman Regular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jc w:val="center"/>
        <w:textAlignment w:val="auto"/>
        <w:rPr>
          <w:rFonts w:hint="default" w:ascii="Times New Roman Regular" w:hAnsi="Times New Roman Regular" w:eastAsia="楷体_GB2312" w:cs="Times New Roman Regular"/>
          <w:color w:val="333333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color w:val="000000"/>
          <w:sz w:val="32"/>
          <w:szCs w:val="32"/>
        </w:rPr>
        <w:t>辛  果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jc w:val="center"/>
        <w:textAlignment w:val="auto"/>
        <w:rPr>
          <w:rFonts w:hint="default" w:ascii="Times New Roman Regular" w:hAnsi="Times New Roman Regular" w:eastAsia="等线" w:cs="Times New Roman Regular"/>
          <w:color w:val="333333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（20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年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月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日）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textAlignment w:val="auto"/>
        <w:rPr>
          <w:rFonts w:hint="default" w:ascii="Times New Roman Regular" w:hAnsi="Times New Roman Regular" w:eastAsia="等线" w:cs="Times New Roman Regular"/>
          <w:color w:val="333333"/>
          <w:sz w:val="22"/>
        </w:rPr>
      </w:pP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textAlignment w:val="auto"/>
        <w:rPr>
          <w:rFonts w:hint="default" w:ascii="Times New Roman Regular" w:hAnsi="Times New Roman Regular" w:eastAsia="等线" w:cs="Times New Roman Regular"/>
          <w:color w:val="333333"/>
          <w:sz w:val="22"/>
        </w:rPr>
      </w:pPr>
      <w:r>
        <w:rPr>
          <w:rFonts w:hint="default" w:ascii="Times New Roman Regular" w:hAnsi="Times New Roman Regular" w:eastAsia="仿宋_GB2312" w:cs="Times New Roman Regular"/>
          <w:b/>
          <w:color w:val="000000"/>
          <w:sz w:val="32"/>
        </w:rPr>
        <w:t>各位代表: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atLeast"/>
        <w:ind w:firstLine="480"/>
        <w:textAlignment w:val="auto"/>
        <w:rPr>
          <w:rFonts w:hint="default" w:ascii="Times New Roman Regular" w:hAnsi="Times New Roman Regular" w:eastAsia="仿宋_GB2312" w:cs="Times New Roman Regular"/>
          <w:color w:val="000000"/>
          <w:sz w:val="32"/>
        </w:rPr>
      </w:pPr>
      <w:r>
        <w:rPr>
          <w:rFonts w:hint="default" w:ascii="Times New Roman Regular" w:hAnsi="Times New Roman Regular" w:eastAsia="仿宋_GB2312" w:cs="Times New Roman Regular"/>
          <w:color w:val="000000"/>
          <w:sz w:val="32"/>
        </w:rPr>
        <w:t>现在，我代表东升镇人民政府向大会报告工作，请予审议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outlineLvl w:val="0"/>
        <w:rPr>
          <w:rFonts w:hint="default" w:ascii="Times New Roman Regular" w:hAnsi="Times New Roman Regular" w:eastAsia="黑体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outlineLvl w:val="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bookmarkStart w:id="0" w:name="OLE_LINK29"/>
      <w:r>
        <w:rPr>
          <w:rFonts w:hint="default" w:ascii="Times New Roman Regular" w:hAnsi="Times New Roman Regular" w:eastAsia="黑体" w:cs="Times New Roman Regular"/>
          <w:sz w:val="32"/>
          <w:szCs w:val="32"/>
        </w:rPr>
        <w:t>202</w:t>
      </w: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4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年工作回顾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atLeast"/>
        <w:ind w:firstLine="668" w:firstLineChars="200"/>
        <w:textAlignment w:val="auto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default" w:ascii="Times New Roman Regular" w:hAnsi="Times New Roman Regular" w:eastAsia="仿宋_GB2312" w:cs="Times New Roman Regular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default" w:ascii="Times New Roman Regular" w:hAnsi="Times New Roman Regular" w:eastAsia="仿宋_GB2312" w:cs="Times New Roman Regular"/>
          <w:i w:val="0"/>
          <w:iCs w:val="0"/>
          <w:caps w:val="0"/>
          <w:spacing w:val="7"/>
          <w:sz w:val="32"/>
          <w:szCs w:val="32"/>
          <w:shd w:val="clear" w:color="auto" w:fill="FFFFFF"/>
        </w:rPr>
        <w:t>实现“十四五”规划目标任务的关键</w:t>
      </w:r>
      <w:r>
        <w:rPr>
          <w:rFonts w:hint="default" w:ascii="Times New Roman Regular" w:hAnsi="Times New Roman Regular" w:eastAsia="仿宋_GB2312" w:cs="Times New Roman Regular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之</w:t>
      </w:r>
      <w:r>
        <w:rPr>
          <w:rFonts w:hint="default" w:ascii="Times New Roman Regular" w:hAnsi="Times New Roman Regular" w:eastAsia="仿宋_GB2312" w:cs="Times New Roman Regular"/>
          <w:i w:val="0"/>
          <w:iCs w:val="0"/>
          <w:caps w:val="0"/>
          <w:spacing w:val="7"/>
          <w:sz w:val="32"/>
          <w:szCs w:val="32"/>
          <w:shd w:val="clear" w:color="auto" w:fill="FFFFFF"/>
        </w:rPr>
        <w:t>年。</w:t>
      </w:r>
      <w:r>
        <w:rPr>
          <w:rFonts w:hint="default" w:ascii="Times New Roman Regular" w:hAnsi="Times New Roman Regular" w:eastAsia="仿宋_GB2312" w:cs="Times New Roman Regular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一年来，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在区委区政府和镇党委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坚强领导下，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CN"/>
        </w:rPr>
        <w:t>在镇人大的监督指导下，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我们坚持以习近平新时代中国特色社会主义思想为指导，全面贯彻党的二十大和二十届二中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eastAsia="zh-CN"/>
        </w:rPr>
        <w:t>、三中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全会精神，深入贯彻习近平总书记对北京重要讲话和对中关村重要指示精神，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主动作为、合力攻坚，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大力推进经济发展、项目建设、社会管理、民生保障等工作，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全面加强政府自身建设，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高质量完成了镇三届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次人代会确定的各项目标任务，保持了经济社会持续健康发展的良好态势。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 w:val="0"/>
        <w:topLinePunct w:val="0"/>
        <w:bidi w:val="0"/>
        <w:adjustRightInd/>
        <w:spacing w:line="560" w:lineRule="atLeast"/>
        <w:ind w:firstLine="640" w:firstLineChars="200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000000"/>
          <w:sz w:val="32"/>
          <w:szCs w:val="32"/>
          <w:lang w:eastAsia="zh-CN"/>
        </w:rPr>
        <w:t>坚持向新而行，经济发展稳中有进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 w:val="0"/>
        <w:topLinePunct w:val="0"/>
        <w:bidi w:val="0"/>
        <w:adjustRightInd/>
        <w:spacing w:line="560" w:lineRule="atLeast"/>
        <w:ind w:firstLine="642"/>
        <w:textAlignment w:val="auto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000000"/>
          <w:sz w:val="32"/>
          <w:szCs w:val="32"/>
          <w:lang w:val="en-US" w:eastAsia="zh-CN"/>
        </w:rPr>
        <w:t>集体经济机制体制改革纵深推进。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完善镇社两级集体组织架构，成立联合社，优化总公司部门设置，系统建立“一级所有、二级</w:t>
      </w:r>
      <w:bookmarkStart w:id="1" w:name="OLE_LINK1"/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核算、统分统</w:t>
      </w:r>
      <w:bookmarkEnd w:id="1"/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结合”的集体经济管控体系。全面加强制度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highlight w:val="none"/>
          <w:lang w:val="en-US" w:eastAsia="zh-CN"/>
        </w:rPr>
        <w:t>体系建设，制定出台《集体经济组织融资监督管理办法》《东升镇集体经济组织投资监督管理办法》等12项规定，进一步规范集体经济运行。强化内控管理，紧盯投融资、薪酬福利等关键环节，对全镇10个股份社110家公司，开展专项审计监督，逐步提升风险防范能力。梳理完成集体存量房屋建筑资产，建立历史建筑三年拆除台账。落实村地区管政策，镇级联审时限缩短至2个工作日内，全年流转审核合同2491份，规范集体资产管理。持续发挥总公司统筹作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用，主动对接金融机构，降低融资成本8800万元，整合零散资源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highlight w:val="none"/>
          <w:lang w:val="en-US" w:eastAsia="zh-CN"/>
        </w:rPr>
        <w:t>，成立镇级投资平台，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降本增效成果显著。</w:t>
      </w:r>
    </w:p>
    <w:p>
      <w:pPr>
        <w:pStyle w:val="2"/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textAlignment w:val="auto"/>
        <w:rPr>
          <w:rFonts w:hint="default" w:ascii="Times New Roman Regular" w:hAnsi="Times New Roman Regular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</w:rPr>
        <w:t>2024年，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全镇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</w:rPr>
        <w:t>集体经济组织总收入35.55亿元，同比增加 6.14%，净利润5.58亿元，同比增加 12.27%。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 w:val="0"/>
        <w:topLinePunct w:val="0"/>
        <w:bidi w:val="0"/>
        <w:adjustRightInd/>
        <w:spacing w:line="560" w:lineRule="atLeast"/>
        <w:ind w:firstLine="642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000000"/>
          <w:sz w:val="32"/>
          <w:szCs w:val="32"/>
          <w:lang w:val="en-US" w:eastAsia="zh-CN"/>
        </w:rPr>
        <w:t>产业发展提档升级。</w:t>
      </w:r>
      <w:bookmarkStart w:id="67" w:name="_GoBack"/>
      <w:bookmarkEnd w:id="67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聚焦大信息、大健康、新能源、新材料“两大两新”战略新兴产业，围绕各园区主导产业、细分领域，精准招引上下游企业，成功引入华大基因、中车、中材等优质企业。立足“大孵化器”定位，落地京津冀国家技术创新中心、国际数智健康创新中心等</w:t>
      </w:r>
      <w:bookmarkStart w:id="2" w:name="OLE_LINK2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孵化</w:t>
      </w:r>
      <w:bookmarkEnd w:id="2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品牌，支持细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 w:bidi="ar"/>
        </w:rPr>
        <w:t>胞基因治疗与再生医学等公共服务平台建设，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推动硬科技企业培育和未来产业发展。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 w:val="0"/>
        <w:topLinePunct w:val="0"/>
        <w:bidi w:val="0"/>
        <w:adjustRightInd/>
        <w:spacing w:line="560" w:lineRule="atLeast"/>
        <w:ind w:firstLine="642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val="en-US" w:eastAsia="zh-CN"/>
        </w:rPr>
        <w:t>抢抓人工智能产业发展机遇，以五道口人工智能先导区建设为契机，围绕“创新生态新范式、城市运行新纪元、美好生活新画卷”三大愿景，高标准打造海淀AI原点社区。立足“技术创新前沿阵地、初创企业成长基地”角色定位，加大政策支持力度，支持出台“5+5”补贴政策，精准招引、精心孵化人工智能企业，形成行业全景图谱。优</w:t>
      </w:r>
      <w:bookmarkStart w:id="3" w:name="OLE_LINK3"/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val="en-US" w:eastAsia="zh-CN"/>
        </w:rPr>
        <w:t>化创新生态，构建产学研合作、资本对接、市场拓展等全要素服务体系，东升大厦入选全市首批未来产业育新基地。</w:t>
      </w:r>
      <w:bookmarkStart w:id="4" w:name="OLE_LINK5"/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val="en-US" w:eastAsia="zh-CN"/>
        </w:rPr>
        <w:t>激活区域创新潜能，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开展数字文化科技嘉年华、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人工智能职业技能大赛、点燃仪式等系列活动，</w:t>
      </w:r>
      <w:bookmarkEnd w:id="3"/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举办企业家沙龙6次、大模型企业加速营4届，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成</w:t>
      </w:r>
      <w:bookmarkStart w:id="5" w:name="OLE_LINK4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功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引入互联网体系结构全国重点实验室、清华大学国家人工智能产教融合创新平台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、清华大学人工智能学院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等科研机构，</w:t>
      </w:r>
      <w:bookmarkEnd w:id="5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为人工智能创新高地建设提供有力支撑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。</w:t>
      </w:r>
      <w:bookmarkEnd w:id="4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截至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2024年底，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海淀AI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原点社区共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入驻人工智能企业202家，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同比增长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86%，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企业融资规模达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14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亿元，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区域税收增幅119%，人工智能产业集聚度达59%，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集群发展格局初步形成。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000000"/>
          <w:sz w:val="32"/>
          <w:szCs w:val="32"/>
          <w:lang w:val="en-US" w:eastAsia="zh-CN"/>
        </w:rPr>
        <w:t>空间运营持续优化。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立足资源禀赋，坚持盘活存量挖潜增效，优化增量提质赋能，为高质量发展提供空间承载和要素支撑。全力打造高品质产业空间，</w:t>
      </w:r>
      <w:bookmarkStart w:id="6" w:name="OLE_LINK7"/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东升科技园二期全面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投入使用，入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eastAsia="zh-CN"/>
        </w:rPr>
        <w:t>驻企业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val="en-US" w:eastAsia="zh-CN"/>
        </w:rPr>
        <w:t>33家，去化产业空</w:t>
      </w:r>
      <w:bookmarkEnd w:id="6"/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val="en-US" w:eastAsia="zh-CN"/>
        </w:rPr>
        <w:t>间9万余平方米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</w:rPr>
        <w:t>东升科技园三期自持地块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val="en-US" w:eastAsia="zh-CN"/>
        </w:rPr>
        <w:t>完成竣工验收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</w:rPr>
        <w:t>，中关村东升科技园·学北园实现主体结构封顶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eastAsia="zh-CN"/>
        </w:rPr>
        <w:t>。盘</w:t>
      </w:r>
      <w:bookmarkStart w:id="7" w:name="OLE_LINK8"/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eastAsia="zh-CN"/>
        </w:rPr>
        <w:t>活低效闲置用地，支持推进汇清大厦、圣熙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val="en-US" w:eastAsia="zh-CN"/>
        </w:rPr>
        <w:t>8号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eastAsia="zh-CN"/>
        </w:rPr>
        <w:t>等产业空间升级改造，收回同源大厦等</w:t>
      </w:r>
      <w:bookmarkEnd w:id="7"/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eastAsia="zh-CN"/>
        </w:rPr>
        <w:t>经营权，完成收购弘源国际中心。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截至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val="en-US" w:eastAsia="zh-CN"/>
        </w:rPr>
        <w:t>2024年底，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</w:rPr>
        <w:t>全镇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集体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</w:rPr>
        <w:t>产业空间面积达 253万平方米，汇聚企业3986 家，其中科技类企业1979家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</w:rPr>
        <w:t>上市企业18家、独角兽企业8家、国（村）高新企业554家、专精特新企业195家、人工智能企业393家。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eastAsia="zh-CN"/>
        </w:rPr>
        <w:t>创新生态全面构建。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eastAsia="zh-CN"/>
        </w:rPr>
        <w:t>坚持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“两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低两高”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服务理念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围绕</w:t>
      </w:r>
      <w:bookmarkStart w:id="8" w:name="OLE_LINK31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“创新、金融、政策、生活”</w:t>
      </w:r>
      <w:bookmarkEnd w:id="8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四个链条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，积极链接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整合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全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要素资源，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推动创新链产业链资金链人才链深度融合。</w:t>
      </w:r>
      <w:bookmarkStart w:id="9" w:name="OLE_LINK9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成功举办</w:t>
      </w:r>
      <w:bookmarkStart w:id="10" w:name="OLE_LINK32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第十二届东升杯国际创业大赛</w:t>
      </w:r>
      <w:bookmarkEnd w:id="10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累计吸引全球创新创业项目16399个，依托赛事活动，打造常态化科创服务平台。</w:t>
      </w:r>
      <w:bookmarkEnd w:id="9"/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CN" w:bidi="ar"/>
        </w:rPr>
        <w:t>举办“发展新质生产力、打造科创新高地”主题论坛，指导发布助企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12条措施，助力组建投融资联盟，进一步扩大生态服务覆盖范围。用好企业上市发展基地，完善企业筛选、资本对接、上市辅导等全链条服务体系，助力闪送科技登陆纳斯达克。争取试点政策率先落地园区，全市</w:t>
      </w:r>
      <w:bookmarkStart w:id="11" w:name="OLE_LINK42"/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首批</w:t>
      </w:r>
      <w:bookmarkStart w:id="12" w:name="OLE_LINK10"/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社保服务合作网点</w:t>
      </w:r>
      <w:bookmarkEnd w:id="11"/>
      <w:bookmarkEnd w:id="12"/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顺利揭牌，首个医药产业“</w:t>
      </w:r>
      <w:bookmarkStart w:id="13" w:name="OLE_LINK43"/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创新合伙直通车</w:t>
      </w:r>
      <w:bookmarkEnd w:id="13"/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”落户东升科技园，获评全市首批优化营商环境改革创新案例。推动东升科技园一刻钟生活圈建设，建成覆盖周边园区、校区的生活服务体系，服务企业员工、辖区居民10万余人。加快集租房项目建设，坚果社区全面投入使用，云尚社区完成竣工验收，</w:t>
      </w:r>
      <w:bookmarkStart w:id="14" w:name="OLE_LINK24"/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青核社区</w:t>
      </w:r>
      <w:bookmarkEnd w:id="14"/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 w:bidi="ar"/>
        </w:rPr>
        <w:t>启动试运营，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清河小营建材城集租房进入主体结构施工，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释放保障性集租房，助力科创人才安居乐业。</w:t>
      </w:r>
      <w:bookmarkStart w:id="15" w:name="OLE_LINK40"/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eastAsia="zh-CN"/>
        </w:rPr>
        <w:t>落实三级走访服务企业机制，覆盖企业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1000余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eastAsia="zh-CN"/>
        </w:rPr>
        <w:t>家，协助企业解决子女入学、人才招引、知识产权等问题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  <w:t>378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eastAsia="zh-CN"/>
        </w:rPr>
        <w:t>件。</w:t>
      </w:r>
      <w:bookmarkEnd w:id="15"/>
    </w:p>
    <w:p>
      <w:pPr>
        <w:keepNext w:val="0"/>
        <w:keepLines w:val="0"/>
        <w:pageBreakBefore w:val="0"/>
        <w:numPr>
          <w:ilvl w:val="0"/>
          <w:numId w:val="1"/>
        </w:numPr>
        <w:kinsoku/>
        <w:topLinePunct w:val="0"/>
        <w:bidi w:val="0"/>
        <w:adjustRightInd/>
        <w:spacing w:line="560" w:lineRule="atLeas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lang w:val="en-US" w:eastAsia="zh-CN"/>
        </w:rPr>
        <w:t>坚持底线思维，安全防线持续筑牢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lang w:val="en-US" w:eastAsia="zh-CN"/>
        </w:rPr>
        <w:t>社会治安平稳有序。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统筹景观布置、环境保障等各项工作，累计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lang w:val="en-US" w:eastAsia="zh-CN"/>
        </w:rPr>
        <w:t>启动社会面等级防控13次，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圆满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lang w:val="en-US" w:eastAsia="zh-CN"/>
        </w:rPr>
        <w:t>完成春节两会等重点时期维稳安保工作。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深入践行新时代“枫桥经验”，在拆迁腾退重点任务中，综合运用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“1+3+N”工作法，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妥善调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eastAsia="zh-CN"/>
        </w:rPr>
        <w:t>处群众矛盾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val="en-US" w:eastAsia="zh-CN"/>
        </w:rPr>
        <w:t>46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eastAsia="zh-CN"/>
        </w:rPr>
        <w:t>件。落实</w:t>
      </w:r>
      <w:bookmarkStart w:id="16" w:name="OLE_LINK45"/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eastAsia="zh-CN"/>
        </w:rPr>
        <w:t>社区矫正</w:t>
      </w:r>
      <w:bookmarkEnd w:id="16"/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  <w:lang w:eastAsia="zh-CN"/>
        </w:rPr>
        <w:t>和安置帮教工作，扎实开展矛盾纠纷排查化解，调处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/>
        </w:rPr>
        <w:t>一般性矛盾纠纷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812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/>
        </w:rPr>
        <w:t>件。强化交通秩序综合整治，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处罚违章停车6580起，挖潜停车位400余个。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扎实开展“根治欠薪”行动，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zh-CN"/>
        </w:rPr>
        <w:t>处理劳动人事争议调解案件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118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zh-CN"/>
        </w:rPr>
        <w:t>件。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多措并举开展</w:t>
      </w:r>
      <w:bookmarkStart w:id="17" w:name="OLE_LINK44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反恐</w:t>
      </w:r>
      <w:bookmarkEnd w:id="17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防暴、反邪教、防震减灾、打击非</w:t>
      </w:r>
      <w:bookmarkStart w:id="18" w:name="OLE_LINK11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法集资</w:t>
      </w:r>
      <w:bookmarkEnd w:id="18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和防范金融风险等系列宣传教育活动，营造安全稳定社会氛围。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安全生产基础不断夯实。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深化消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防安全治本攻坚三年行动，以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“企安安”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系统推广为抓手，开展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火灾隐患大排查大整治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工作，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完成部门检查1591家，发现并整改安全隐患5828条。落实电动自行车安全隐患全链条整治行动，对全镇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集中停放车棚进行全面摸排，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设置防火隔断89处，增设充电接口1012个</w:t>
      </w:r>
      <w:bookmarkStart w:id="19" w:name="OLE_LINK12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。加强农村自建房安全管理，清理堆物堆料，开展拆穿破网专项行动，拆除防护栏79处，确保生命通道畅通。强化建筑施工专项整治，建立监管台账，落实日常巡查检查，全面规范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</w:rPr>
        <w:t>限额以下小型工程安全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管理。扎实开展燃气安全专项整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eastAsia="zh-CN"/>
        </w:rPr>
        <w:t>治，做好22495户天然气用户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val="en-US" w:eastAsia="zh-CN"/>
        </w:rPr>
        <w:t>712户液化气用户入户安全巡检，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完成文龙四里等点位管线改造，消除安全隐患95处。扎实开展防汛工作，清理河道3750米，排洪沟、排水管线71公里，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完成东小口沟左右岸护坡加固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项目，实施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成府路防汛隐患整治工程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，确保安全</w:t>
      </w:r>
      <w:bookmarkStart w:id="20" w:name="OLE_LINK53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度汛</w:t>
      </w:r>
      <w:bookmarkEnd w:id="20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以消防宣传月为契机，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“一警六员”实操实训1671人次，开展消防安全大讲堂、</w:t>
      </w:r>
      <w:bookmarkStart w:id="21" w:name="OLE_LINK46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消防安全技能大比武</w:t>
      </w:r>
      <w:bookmarkEnd w:id="21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等系列活动，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增强群众消防安全意识。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食药安全有效守护。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以国家卫生镇复审为抓手，加大</w:t>
      </w:r>
      <w:bookmarkStart w:id="22" w:name="OLE_LINK58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病媒生物防制</w:t>
      </w:r>
      <w:bookmarkEnd w:id="22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工作力度，开展</w:t>
      </w:r>
      <w:bookmarkStart w:id="23" w:name="OLE_LINK47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爱国卫生月</w:t>
      </w:r>
      <w:bookmarkEnd w:id="23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活动，</w:t>
      </w:r>
      <w:bookmarkStart w:id="24" w:name="OLE_LINK13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发动群众</w:t>
      </w:r>
      <w:bookmarkEnd w:id="24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4038人次，清除</w:t>
      </w:r>
      <w:bookmarkStart w:id="25" w:name="OLE_LINK14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卫生死角</w:t>
      </w:r>
      <w:bookmarkEnd w:id="25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769处，打造干净整洁的公共卫生环境。加强生活饮用水</w:t>
      </w:r>
      <w:bookmarkStart w:id="26" w:name="OLE_LINK15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卫生监督，对辖</w:t>
      </w:r>
      <w:bookmarkEnd w:id="26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区6口自备井、22台现场制售水机开展采样检测并纳入线上监管平台，有力保障供水安全。深入推进跨部门综合监管，对辖区学校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医疗机构、托幼托育早教机构等开展联合执法，落实全方位督导检查。创新监管方式，试点建设培黎职业学院食堂智慧监管平台，实现实时巡检、精准抓拍，从源头降低食品安全隐患。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topLinePunct w:val="0"/>
        <w:bidi w:val="0"/>
        <w:adjustRightInd/>
        <w:spacing w:line="560" w:lineRule="atLeas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lang w:val="en-US" w:eastAsia="zh-CN"/>
        </w:rPr>
        <w:t>坚持</w:t>
      </w:r>
      <w:bookmarkEnd w:id="19"/>
      <w:r>
        <w:rPr>
          <w:rFonts w:hint="eastAsia" w:ascii="Times New Roman Regular" w:hAnsi="Times New Roman Regular" w:eastAsia="黑体" w:cs="Times New Roman Regular"/>
          <w:color w:val="auto"/>
          <w:sz w:val="32"/>
          <w:szCs w:val="32"/>
          <w:lang w:val="en-US" w:eastAsia="zh-CN"/>
        </w:rPr>
        <w:t>统筹推进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lang w:val="en-US" w:eastAsia="zh-CN"/>
        </w:rPr>
        <w:t>，城市建设彰显韧性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城市更新步伐不断加快。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强化顶层设计，发挥规划引领带动作用，北部地区规划综合实施方案取得批复并全面启动实施，南部片区综合实施方案正在加速编制，镇域统筹实施方案编制完成初稿。集中力量开展拆迁腾退，</w:t>
      </w:r>
      <w:bookmarkStart w:id="27" w:name="OLE_LINK16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朱房四街棚户区改造项目77天完成全部1019个院落腾退工作</w:t>
      </w:r>
      <w:bookmarkEnd w:id="27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，资金平衡地块已完成供地验收，具备入市条件，回迁安置房建设正式启动。朱房二期城中村改造项目历时58天完成567个院落签约腾退工作。加快保障性住房建设，明光村回迁安置房顺利封顶，京昌路楔形绿地棚户区改造项目回迁安置房启动产权办理。深入推进城市更新项目谋划实施，拆除凯时广场，清华东路西口站一体化完成入库备案，永泰庄安置楼A地块建设项目取得立项，A07地块与清华</w:t>
      </w:r>
      <w:bookmarkStart w:id="28" w:name="OLE_LINK17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大学达成</w:t>
      </w:r>
      <w:bookmarkEnd w:id="28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初步合作意向。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zh-CN" w:eastAsia="zh-CN"/>
        </w:rPr>
        <w:t>城市精细化管理水平有效提升。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依托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zh-CN"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数治东升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zh-CN"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数字化平台，做实做细五级网格管理体制，整合“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一支队伍”，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科学定岗、合理定责，统筹文明城区创建、街面秩序维控、消防安全隐患整治等内容，实现数据共享、业务协同。坚持置顶“接诉即办”工作，落实分级分类管理机制，简单诉求“马上办”、热点诉求“联合办”、难点诉求“提级办”，不断提升群众诉求办理质效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2024年，全年受理群众诉求6435件，解决率98.43%、满意率98.14%。持续开展片区融合更新，完成京张铁路遗址公园二期（知春路段）、城铁13号线沿线等环境整治项目</w:t>
      </w:r>
      <w:bookmarkStart w:id="29" w:name="OLE_LINK18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。</w:t>
      </w:r>
      <w:bookmarkEnd w:id="29"/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深化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疏整促专项行动，推进马坊社区人防工程再利用，清理整治群租房80套，查处无照经营类案件386起。扎实推进城市家具精细化治理，规范整改点位89处，完成前八家路等5条道路优美街巷验收。巩固无违建创建成果，严控新生违建，消减既有违建，全年违建销账13.09万平方米，任务完成率100%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生态环境持续改善。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强化大气污染防治，落实道路日常保洁清扫，开展施工扬尘及道路遗撒专项整治，对163家涉污企业开展全覆盖监督检查，抓好源头管控。因地制宜开展花园城市建设，在八家郊野公园南区打造11240</w:t>
      </w:r>
      <w:bookmarkStart w:id="30" w:name="OLE_LINK19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平方米</w:t>
      </w:r>
      <w:bookmarkEnd w:id="30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牡丹园，指导文龙四里创建市级“花园式单位”，支持东升大厦打造2230平方米空中花园。强化公共绿地管护，现场巡查260余次，组织爱绿护绿活动27场，新植树木2100余株。持续开墙透绿，完成揭网见绿4.15公顷。扎实做好垃圾分类工作，创建2个示范小区、6个达标小区，全面推进垃圾分类治理体系建设。大力改善水环境，完成巡河里程246.7公里，河道保洁考核居全区前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topLinePunct w:val="0"/>
        <w:bidi w:val="0"/>
        <w:adjustRightInd/>
        <w:spacing w:line="560" w:lineRule="atLeas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lang w:val="en-US" w:eastAsia="zh-CN"/>
        </w:rPr>
        <w:t>坚持以人为本，治理效能有效提升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社区治理体系不断完善。</w:t>
      </w:r>
      <w:bookmarkStart w:id="31" w:name="OLE_LINK20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坚持党建引领“大家商量着办”，打造</w:t>
      </w:r>
      <w:bookmarkStart w:id="32" w:name="OLE_LINK25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龙岗社区“九心五线”</w:t>
      </w:r>
      <w:bookmarkEnd w:id="32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等基层议事协商品牌，完成马坊社区“拾光花园”等微治理项目。</w:t>
      </w:r>
      <w:bookmarkEnd w:id="31"/>
      <w:bookmarkStart w:id="33" w:name="OLE_LINK23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坚持共建共治共享</w:t>
      </w:r>
      <w:bookmarkEnd w:id="33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，文龙家园获评“北京市2024年‘加强物业管理 共建美好家园’典型案例”，文晟社区连续6次创建低诉社区。提升业委会、物管会规范化运作水平，指导观景园等10个小区重新组建物管会，观林园等3个小区召开业主大会，健全</w:t>
      </w:r>
      <w:bookmarkStart w:id="34" w:name="OLE_LINK21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业主自治机制</w:t>
      </w:r>
      <w:bookmarkEnd w:id="34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。强化物业服务企业监督引导，编制全镇17个住宅小区“一小区一标准、一小区一清单”，加强年度物业考核评价。进一步改善群众居住环境，完成观林园10部电梯加装工作，新启动12部电梯建设工作。持续开展居住小区环境治理，全年整改设施维修、堆物堆料等11类问题29045项。落实基层减负要求，</w:t>
      </w:r>
      <w:bookmarkStart w:id="35" w:name="OLE_LINK22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规范社区（村）工作事务、机制牌子</w:t>
      </w:r>
      <w:bookmarkEnd w:id="35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和证明事项，清理工作群，探索人工智能技术赋能基层治理新模式，全面上线数智社工助手，实时响应群众需求。加强社区队伍建设，实施社区工作者“成长计划”，举办首届全镇社工服务技能大赛，组织培训32场次，培育基层治理骨干力量。圆满完成马坊村撤村工作，做好龙樾、文龙等社区优化拆分，充实社区治理基层力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民生福祉显著增进。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扎实办好民生实事，为八家嘉园回迁居民办理房产证1059套。统筹养老设施布局，加快镇级养老服务中心建设，完成马坊、八家2家养老服务驿站建设，新增宝盛北里西区、泰欣苑、八家嘉园3个养老助餐点，建成首批首家海淀食堂—宝盛社区餐厅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优化养老服务供给，提供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家庭养老照护床位3697张次，开展独居、空巢等特殊老人巡视探访2200人次。深入开展救助帮扶，组织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个案帮扶42次、紧急帮扶4次，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惠及群众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1300余人次。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重视教育事业发展，完成47名非京籍儿童入学审核，支持石油附属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实验小学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、未来幼儿园等学校更新服务设施和教具。优化就业服务，建立失业人员动态管理台账，挖掘零工就业岗位，举办“才聚云端”招聘活动。推动慈善品牌建设，壮大“爱益东升”公益联盟，开展“暖东行动”公益活动45场次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组织救助帮扶8批次3348人。加大扶残助残力度，完成465名残疾人家医签约工作，建成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八家社区温馨家园。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开展2轮流动儿童监测摸排，举办妇女维权普法讲座，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保障妇女儿童权益。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kern w:val="0"/>
          <w:sz w:val="32"/>
          <w:szCs w:val="32"/>
          <w:highlight w:val="none"/>
          <w:lang w:val="en-US" w:eastAsia="zh-CN" w:bidi="ar-SA"/>
        </w:rPr>
        <w:t>公共文化服务扎实开展。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发挥党建阵地作用，依托全镇23个党群服务中心，组织开展活动1000余场，联系服务党员群众近3万人。坚持文化惠民，以3个镇级文化活动中心为主阵地，开展百姓周末大舞台等各类活动17场，丰富群众精神文化生活。延伸拓展新时代文明实践阵地，广泛开展志愿服务，“</w:t>
      </w:r>
      <w:bookmarkStart w:id="36" w:name="OLE_LINK38"/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乐活智行</w:t>
      </w:r>
      <w:bookmarkEnd w:id="36"/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”项目获海淀区优秀志愿服务品牌，组织第七届文明市民艺术节系列活动，开展文明实践活动1200余场。坚持文化科技融合发展，试点建设社区智慧书屋，谋划启动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悦读东升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活动。发展全民健身事业，持续开展健步跑、亲子运动会等群众性体育活动。深化校地合作，发挥与北京建筑大学共建社会工作实务基地作用，累计接收93名学生参加实践，形成10个特色服务案例。扎实做好退役军人服务和民族宗教工作，圆满完成民兵整组工作，积极开展群团、工会建设，成立乡村振兴青年社，更好地为青年参与乡村振兴搭建平台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topLinePunct w:val="0"/>
        <w:bidi w:val="0"/>
        <w:adjustRightInd/>
        <w:spacing w:line="560" w:lineRule="atLeas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坚持依法行政，政府自身建设全面加强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作风建设不断深化。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加强巡察整改成果应用，落实问题、任务和责任“三个清单”，明确整改措施和时限，做到立行立改。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贯彻执行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中央八项规定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精神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</w:t>
      </w:r>
      <w:bookmarkStart w:id="37" w:name="OLE_LINK27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持续开展</w:t>
      </w:r>
      <w:bookmarkStart w:id="38" w:name="OLE_LINK39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节假日纪律教育</w:t>
      </w:r>
      <w:bookmarkEnd w:id="38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和监督检查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，筑牢廉洁自律思</w:t>
      </w:r>
      <w:bookmarkEnd w:id="37"/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想防线。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强化督查督办，聚焦重大工程项目、城中村改造等领域开展常态化监督，对40件党委政府重点任务开展全流程督办，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办结市区督办件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9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件，完成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双清路85号院接通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天然气等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12项民生实事项目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，推动各级责任落实落细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suppressAutoHyphens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法治政府建设全面加强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完善政府办公会决策机制，全年召开政府办公会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45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次，研究议题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429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项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重要事项及时向党委、人大报告，自觉接受镇党委领导、人大监督，主动听取各方面意见建议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。提升政府班子法治思维和能力，组织政府办公会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会前学法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11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次，行政机关负责人出庭应诉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9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次、参加行政复议听证会及行政调解1次。开展法治宣传教育，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/>
        </w:rPr>
        <w:t>打造“法润东升”普法品牌，开展法治宣传活动434场次，受教育群众4万余人。加强执法队伍建设，创新执法模式，梳理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17项非现场检查清单，逐步提升监管质效。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内控管理持续强化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牢固树立过“紧日子”思想，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把好预算编制关口，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严控“三公”经费和一般性支出，厉行节约，管住用好财政资金。聚焦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项目建设、物资采购等风险环节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修订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收支、采购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5项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管理办法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，逐步提升风险防范能力和水平。强化预算绩效管理，紧盯资金支出进度，定期组织调度，加快推进各项任务实施，切实提高财政资金使用效益。落实“零基预算”要求，组织业务培训，强化审核监督，圆满完成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2025年预算编制工作。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多措并举创建节约型机关，推进公共区域节能改造，倡导无纸化办公，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开展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光盘行动，杜绝奢侈浪费。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各位代表，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政府工作各项成绩的取得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，是镇党委坚强领导的结果，是镇人大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各位代表监督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支持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的结果，是全镇上下共同努力、团结协作、不懈奋斗的结果。在此，我代表镇政府向各位代表和干部群众们表示衷心的感谢！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在总结工作的同时，我们也清醒地看到政府工作中还存在很多不足，面临不少困难和挑战：一是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支持集体经济发展的举措还需进一步深化，集体经济现代化管理水平还需要进一步提高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；二是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城市品质和环境面貌有待提升，拆墙透绿的力度还需进一步加大；三是民生保障存在薄弱环节，养老服务有效供给不足，供需矛盾比较突出；四是精细化管理服务水平有待提高，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应急处置机制还需进一步完善，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“接诉即办”群众诉求办理质效仍有进步空间；五是机关和社区干部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队伍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专业素质和工作能力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有待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进一步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提高，真抓实干、争先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创优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的精气神还需进一步提振。对于这些问题和不足，我们要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时刻保持清醒，积极面对，并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采取有效措施认真加以解决。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zh-CN"/>
        </w:rPr>
      </w:pPr>
      <w:bookmarkStart w:id="39" w:name="OLE_LINK41"/>
      <w:r>
        <w:rPr>
          <w:rFonts w:hint="default" w:ascii="Times New Roman Regular" w:hAnsi="Times New Roman Regular" w:eastAsia="黑体" w:cs="Times New Roman Regular"/>
          <w:sz w:val="32"/>
          <w:szCs w:val="32"/>
          <w:lang w:val="zh-CN"/>
        </w:rPr>
        <w:t>202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5</w:t>
      </w:r>
      <w:r>
        <w:rPr>
          <w:rFonts w:hint="default" w:ascii="Times New Roman Regular" w:hAnsi="Times New Roman Regular" w:eastAsia="黑体" w:cs="Times New Roman Regular"/>
          <w:sz w:val="32"/>
          <w:szCs w:val="32"/>
          <w:lang w:val="zh-CN"/>
        </w:rPr>
        <w:t>年工作总体要求和重点任务</w:t>
      </w:r>
    </w:p>
    <w:p>
      <w:pPr>
        <w:bidi w:val="0"/>
        <w:rPr>
          <w:rFonts w:hint="default"/>
          <w:lang w:val="zh-CN"/>
        </w:rPr>
      </w:pPr>
    </w:p>
    <w:bookmarkEnd w:id="3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今年是“十四五”规划收官之年，也是为“十五五”良好开局打牢基础的关键之年，做好各项工作意义重大。今年工作总的要求是：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zh-CN"/>
        </w:rPr>
        <w:t>坚持以习近平新时代中国特色社会主义思想为指导，贯彻落实党的二十大和二十届二中、三中全会精神，全</w:t>
      </w:r>
      <w:bookmarkStart w:id="40" w:name="OLE_LINK28"/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zh-CN"/>
        </w:rPr>
        <w:t>面贯彻中央经济工作会议精神，深入贯彻习近平总书记对北京重要讲话</w:t>
      </w:r>
      <w:bookmarkEnd w:id="40"/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zh-CN"/>
        </w:rPr>
        <w:t>和对中关村重要指示精神，按照市区决策部署和镇党委工作要求，坚持稳中求进工作总基调，完整准确全面贯彻新发展理念，更好统筹发展和安全，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</w:rPr>
        <w:t>全力以赴完成全年经济社会发展目标任务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zh-CN"/>
        </w:rPr>
        <w:t>为海淀当好新时代首都高质量发展排头兵、新质生产力示范区做出更多东升贡献。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contextualSpacing/>
        <w:jc w:val="both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  <w:t>一、培育发展新质生产力，激发高质量发展新动能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000000"/>
          <w:sz w:val="32"/>
          <w:szCs w:val="32"/>
          <w:highlight w:val="none"/>
          <w:lang w:val="zh-CN" w:eastAsia="zh-CN"/>
        </w:rPr>
        <w:t>健全集体经济运行管理机制。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fldChar w:fldCharType="begin"/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instrText xml:space="preserve"> HYPERLINK "http://www.baidu.com/link?url=I72gJMQAik_I7Ahj-W39MEvkW5iGcExDpMaRvCvxifeAABVyXJmSDP3T9pp5M9Vm8UaKWrZMR4bWgZWIZD33UuzcFW-bEutIsDCMsnszbUm" \t "https://www.baidu.com/_blank" </w:instrTex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fldChar w:fldCharType="separate"/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t>发挥经济体制改革牵引作用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fldChar w:fldCharType="end"/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t>，推进工商变更、资产登记等历史遗留问题解决，建立健全法人治理结构，规范集体经济组织运行管理。完善市场化运营机制，搭建集体资产管理运营双平台，提高资产运营效率。支持强化内控管理，持续更新各项内部管理制度，优化集体经济制度体系。创新多维度监督模式，将常规审计与专项审计相结合，紧盯大额资金使用、合同规范履行等高风险环节，持续跟踪问效。支持和指导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总公司强化统筹职责，发挥牵头抓总、牵线搭桥作用，在招商引资、投资对接、资源共享等方面探索建立一体化平台，完善利益联结机制，不断提升市场竞争力。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000000"/>
          <w:sz w:val="32"/>
          <w:szCs w:val="32"/>
          <w:highlight w:val="none"/>
          <w:lang w:val="en-US" w:eastAsia="zh-CN"/>
        </w:rPr>
        <w:t>加快建设现代化产业体系。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t>主动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融入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t>“大力发展新质生产力，建设世界领先科技园区”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t>发展大局，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t>以人工智能产业为灯塔，以具身智能、生物医药、新能源、数据产业为主要方向，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t>梳理产业链图谱和重点企业目录，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主动招引上下游企业，厚植产业生态，放大集群优势。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t>更好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zh-CN" w:eastAsia="zh-CN"/>
        </w:rPr>
        <w:t>发挥资源禀赋优势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深入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推进与清华、北航等高校和科研院所战略合作，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主动对接服务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科技成果转化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孵化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，将区位优势转化为创新动能。紧抓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海淀人工智能创新街区建设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机遇，围绕“创新生态新范式、城市运行新纪元、美好生活新画卷”，谋划落地一批应用场景，常态化举办主题论坛和沙龙活动，扎实做好公共空间更新改造，高水平建设海淀AI原点社区，打造海淀人工智能全景赋能样板间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color w:val="000000"/>
          <w:sz w:val="32"/>
          <w:szCs w:val="32"/>
          <w:highlight w:val="none"/>
          <w:lang w:val="en-US" w:eastAsia="zh-CN"/>
        </w:rPr>
        <w:t>全力打造高品质产业空间</w:t>
      </w:r>
      <w:r>
        <w:rPr>
          <w:rFonts w:hint="eastAsia" w:ascii="Times New Roman Regular" w:hAnsi="Times New Roman Regular" w:eastAsia="仿宋_GB2312" w:cs="Times New Roman Regular"/>
          <w:b/>
          <w:bCs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加快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</w:rPr>
        <w:t>中关村东升科技园·学北园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年底前建成并启动招商，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highlight w:val="none"/>
        </w:rPr>
        <w:t>中关村东升科技园·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东畔科创中心全面开园运营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，并挂牌中关村（海淀）具身智能产业园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加快完善园区配套设施建设，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支持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科技园二期商业街改造，打造充满活力的商业氛围。加快推进数字园区建设，搭建全场景数据可视化管理平台，提升运营管理效率，为园区创造更加广阔的发展空间和竞争优势。支持低效楼宇盘活利用，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推进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五道口食尚苑、东源大厦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等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产业空间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升级改造，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实施海淀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AI原点社区周边公共空间提升改造一期工程，提升海淀AI原点社区整体环境品质。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atLeast"/>
        <w:textAlignment w:val="auto"/>
        <w:rPr>
          <w:rFonts w:hint="default" w:ascii="Times New Roman Regular" w:hAnsi="Times New Roman Regular" w:eastAsia="仿宋_GB2312" w:cs="Times New Roman Regular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2"/>
          <w:sz w:val="32"/>
          <w:szCs w:val="32"/>
          <w:lang w:val="en-US" w:eastAsia="zh-CN" w:bidi="ar-SA"/>
        </w:rPr>
        <w:t>持续优化创新生态体系。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kern w:val="2"/>
          <w:sz w:val="32"/>
          <w:szCs w:val="32"/>
          <w:lang w:val="en-US" w:eastAsia="zh-CN" w:bidi="ar-SA"/>
        </w:rPr>
        <w:t>不断丰富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“创新、金融、政策、生活”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服务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kern w:val="2"/>
          <w:sz w:val="32"/>
          <w:szCs w:val="32"/>
          <w:lang w:val="en-US" w:eastAsia="zh-CN" w:bidi="ar-SA"/>
        </w:rPr>
        <w:t>内容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2"/>
          <w:sz w:val="32"/>
          <w:szCs w:val="32"/>
          <w:lang w:val="en-US" w:eastAsia="zh-CN" w:bidi="ar-SA"/>
        </w:rPr>
        <w:t>，完善企业全周期伙伴式服务生态体系，实施东升企业伙伴服务计划。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kern w:val="2"/>
          <w:sz w:val="32"/>
          <w:szCs w:val="32"/>
          <w:lang w:val="en-US" w:eastAsia="zh-CN" w:bidi="ar-SA"/>
        </w:rPr>
        <w:t>高水平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2"/>
          <w:sz w:val="32"/>
          <w:szCs w:val="32"/>
          <w:lang w:val="en-US" w:eastAsia="zh-CN" w:bidi="ar-SA"/>
        </w:rPr>
        <w:t>筹备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kern w:val="2"/>
          <w:sz w:val="32"/>
          <w:szCs w:val="32"/>
          <w:lang w:val="en-US" w:eastAsia="zh-CN" w:bidi="ar-SA"/>
        </w:rPr>
        <w:t>举办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第十三届东升杯国际创业大赛，常态化承办各类高规格、高品质创新创业赛事，吸引汇聚全球科创资源。充分发挥投融资联盟作用，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吸引和撬动更多社会资本，投资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支持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一批优质早期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科创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项目，扶持陪伴科创企业快速成长。完善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常态化联系服务企业机制，用好公共集体户、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中小企业贷款补贴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等政策抓手，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持续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优化营商环境。以人才需求为导向，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加快推进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小营建材城集体租赁住房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建设，不断优化坚果社区、云尚社区、青核社区等集租房项目运营管理，为企业人才提供高品质居住和生活服务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  <w:t>二、防范化解各类风险，构筑安全生产新防线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sz w:val="32"/>
          <w:szCs w:val="32"/>
          <w:lang w:val="zh-CN" w:eastAsia="zh-CN"/>
        </w:rPr>
        <w:t>维护和谐稳定社会秩序。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持续做好节假日和敏感时期安全保障工作，织牢织密辖区社会面防控网络。主动开展信访矛盾排查，提升来访接待规范化水平，做好吸附稳控工作。落实社区矫正和安置帮教工作措施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做好“两类”人员管理稳控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，加强基层调解委员会工作指导，提升矛盾纠纷多元化解效能。履行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劳动监察保障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职能，全面开展企业巡察检查，保障劳动者合法权益。落实反恐责任，组织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反恐应急处置能力评估，一体化推进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反电信诈骗、反邪教、禁毒等工作，守护群众生命财产安全。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sz w:val="32"/>
          <w:szCs w:val="32"/>
          <w:lang w:val="zh-CN" w:eastAsia="zh-CN"/>
        </w:rPr>
        <w:t>强化安全生产管理。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深入推进安全生产治本攻坚三年行动，紧盯城市燃气、有限空间作业、农村自建房等薄弱环节开展现场检查，及时发现问题督促整改。落实电动自行车安全隐患全链条整治工作机制，因地制宜新建补增充电设施，加大对“进楼入户”等行为的检查劝阻和宣传提示，预防压减安全事故。扎实开展堆物堆料专项清理，切实消除安全隐患，营造整洁有序的生活环境。扩大“企安安”系统覆盖面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提升生产经营单位自查自纠水平，落实主体责任。加强对无牌燃油三轮车等非法衍生违规车辆的清理整治，巩固违规电动三四轮车治理成效，确保违规车辆动态清零。打好防汛主动仗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，加快</w:t>
      </w:r>
      <w:r>
        <w:rPr>
          <w:rFonts w:hint="default" w:ascii="Times New Roman Regular" w:hAnsi="Times New Roman Regular" w:eastAsia="仿宋_GB2312" w:cs="Times New Roman Regular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收尾</w:t>
      </w:r>
      <w:r>
        <w:rPr>
          <w:rFonts w:hint="default" w:ascii="Times New Roman Regular" w:hAnsi="Times New Roman Regular" w:eastAsia="仿宋_GB2312" w:cs="Times New Roman Regular"/>
          <w:color w:val="auto"/>
          <w:spacing w:val="0"/>
          <w:position w:val="0"/>
          <w:sz w:val="32"/>
          <w:szCs w:val="32"/>
          <w:shd w:val="clear" w:fill="auto"/>
        </w:rPr>
        <w:t>东小口沟分洪工程</w:t>
      </w:r>
      <w:r>
        <w:rPr>
          <w:rFonts w:hint="default" w:ascii="Times New Roman Regular" w:hAnsi="Times New Roman Regular" w:eastAsia="仿宋_GB2312" w:cs="Times New Roman Regular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，着力消除安全隐患。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 w:val="32"/>
          <w:szCs w:val="32"/>
          <w:lang w:val="zh-CN" w:eastAsia="zh-CN" w:bidi="ar-SA"/>
        </w:rPr>
      </w:pPr>
      <w:bookmarkStart w:id="41" w:name="OLE_LINK6"/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lang w:val="zh-CN" w:eastAsia="zh-CN"/>
        </w:rPr>
        <w:t>守护群众食药安全</w:t>
      </w:r>
      <w:bookmarkEnd w:id="41"/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lang w:val="zh-CN" w:eastAsia="zh-CN"/>
        </w:rPr>
        <w:t>。</w:t>
      </w:r>
      <w:bookmarkStart w:id="42" w:name="OLE_LINK26"/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kern w:val="0"/>
          <w:sz w:val="32"/>
          <w:szCs w:val="32"/>
          <w:lang w:val="zh-CN" w:eastAsia="zh-CN" w:bidi="ar-SA"/>
        </w:rPr>
        <w:t>扎实开展爱国卫生运动，常态化组织城市清洁日活动，营造健康的公共卫生环境。推进老旧小区二次供水改造，开展监督检查和水质监测，保障群众用水安全。坚决扛起食品安全责任，</w:t>
      </w: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</w:rPr>
        <w:t>建立</w:t>
      </w:r>
      <w:bookmarkStart w:id="43" w:name="OLE_LINK34"/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  <w:lang w:eastAsia="zh-CN"/>
        </w:rPr>
        <w:t>并完善</w:t>
      </w:r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</w:rPr>
        <w:t>包保干部台账</w:t>
      </w:r>
      <w:bookmarkEnd w:id="43"/>
      <w:r>
        <w:rPr>
          <w:rFonts w:hint="default" w:ascii="Times New Roman Regular" w:hAnsi="Times New Roman Regular" w:eastAsia="仿宋_GB2312" w:cs="Times New Roman Regular"/>
          <w:color w:val="auto"/>
          <w:kern w:val="0"/>
          <w:sz w:val="32"/>
          <w:szCs w:val="32"/>
        </w:rPr>
        <w:t>和责任清单，组织签订承诺书，实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时动态更新管理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，严控食品安全风险。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 w:val="32"/>
          <w:szCs w:val="32"/>
          <w:lang w:val="zh-CN" w:eastAsia="zh-CN" w:bidi="ar-SA"/>
        </w:rPr>
        <w:t>创新餐饮企业监管方式，推广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 w:val="32"/>
          <w:szCs w:val="32"/>
          <w:lang w:val="en-US" w:eastAsia="zh-CN" w:bidi="ar-SA"/>
        </w:rPr>
        <w:t>AI监管技术应用范围，提升监管质效。加强</w:t>
      </w:r>
      <w:bookmarkStart w:id="44" w:name="OLE_LINK33"/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 w:val="32"/>
          <w:szCs w:val="32"/>
          <w:lang w:val="en-US" w:eastAsia="zh-CN" w:bidi="ar-SA"/>
        </w:rPr>
        <w:t>医疗卫生机构</w:t>
      </w:r>
      <w:bookmarkEnd w:id="44"/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 w:val="32"/>
          <w:szCs w:val="32"/>
          <w:lang w:val="en-US" w:eastAsia="zh-CN" w:bidi="ar-SA"/>
        </w:rPr>
        <w:t>巡查检查，开展医疗废物、传染病防治等专项整治行动，规范医疗服务秩序。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 w:val="32"/>
          <w:szCs w:val="32"/>
          <w:lang w:val="en-US" w:eastAsia="zh-CN" w:bidi="ar-SA"/>
        </w:rPr>
        <w:br w:type="textWrapping"/>
      </w:r>
      <w:bookmarkEnd w:id="42"/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 Regular" w:hAnsi="Times New Roman Regular" w:eastAsia="黑体" w:cs="Times New Roman Regular"/>
          <w:b w:val="0"/>
          <w:bCs/>
          <w:color w:val="000000"/>
          <w:kern w:val="0"/>
          <w:sz w:val="32"/>
          <w:szCs w:val="32"/>
          <w:lang w:val="en-US" w:eastAsia="zh-CN" w:bidi="ar-SA"/>
        </w:rPr>
        <w:t>三、</w:t>
      </w:r>
      <w:bookmarkStart w:id="45" w:name="OLE_LINK49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  <w:t>改善提升人居环境，提升城市发展新能级</w:t>
      </w:r>
      <w:bookmarkEnd w:id="45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  <w:br w:type="textWrapping"/>
      </w:r>
      <w:r>
        <w:rPr>
          <w:rFonts w:hint="default" w:ascii="Times New Roman Regular" w:hAnsi="Times New Roman Regular" w:eastAsia="黑体" w:cs="Times New Roman Regular"/>
          <w:b/>
          <w:bCs/>
          <w:sz w:val="32"/>
          <w:szCs w:val="32"/>
          <w:lang w:val="en-US" w:eastAsia="zh-CN"/>
        </w:rPr>
        <w:t xml:space="preserve">    </w:t>
      </w:r>
      <w:bookmarkStart w:id="46" w:name="OLE_LINK50"/>
      <w:r>
        <w:rPr>
          <w:rFonts w:hint="default"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  <w:lang w:val="zh-CN" w:eastAsia="zh-CN" w:bidi="ar-SA"/>
        </w:rPr>
        <w:t>加快城市化建设步伐</w:t>
      </w:r>
      <w:bookmarkEnd w:id="46"/>
      <w:r>
        <w:rPr>
          <w:rFonts w:hint="default"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  <w:lang w:val="zh-CN" w:eastAsia="zh-CN" w:bidi="ar-SA"/>
        </w:rPr>
        <w:t>。</w:t>
      </w:r>
      <w:bookmarkStart w:id="47" w:name="OLE_LINK51"/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严格落实城市总体规划，持续完善城市空间形态和功能设置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，力争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南部地区规划综合实施方案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年底前获批，全镇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规划综合实施方案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年底前基本稳定。做好拆迁腾退后半篇文章，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</w:rPr>
        <w:t>朱房四街棚户区改造安置房工程年底前冲出正负零，朱房二期城中村改造项目完成资金平衡地块供地工作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</w:rPr>
        <w:t>明光村地区更新改造回迁安置房项目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年底前整体竣工。加快重点项目建设进展，永泰安置楼项目力争年内开工建设，清华东路西口城铁一体化项目加快推进。</w:t>
      </w:r>
    </w:p>
    <w:bookmarkEnd w:id="47"/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bookmarkStart w:id="48" w:name="OLE_LINK52"/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32"/>
          <w:szCs w:val="32"/>
          <w:lang w:val="zh-CN" w:eastAsia="zh-CN" w:bidi="ar-SA"/>
        </w:rPr>
        <w:t>改善提升城市环境</w:t>
      </w:r>
      <w:bookmarkEnd w:id="48"/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32"/>
          <w:szCs w:val="32"/>
          <w:lang w:val="zh-CN" w:eastAsia="zh-CN" w:bidi="ar-SA"/>
        </w:rPr>
        <w:t>。</w:t>
      </w:r>
      <w:bookmarkStart w:id="49" w:name="OLE_LINK54"/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坚持主动治理，发挥“接诉即办”“探针”作用，深挖民生数据富矿，建立数据分析决策平台，提高问题解决的靶向性和有效性。用好“数治东升”数字化平台，将安全生产、信访、综合执法等工作有机融入网格管理，提升城市治理智慧化水平。开展区域交通综合治理，推进后屯中路、清河北侧路（永泰中路-黑泉路）等道路市政建设，改善交通通行环境。持续开展疏整促专项行动，加强控违巡查力度，严控新生违建，创建5个无违示范小区，稳步推进在案违法建设拆除，完成违法建设拆除面积不少于6.5万平方米。积极推进宝盛里人防工程再利用项目，做好后屯南路等4条背街小巷验收，完成地铁13号线沿线环境整治及后屯东路架空线入地项目。实施片区融合更新，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推进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黑泉路周边及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海淀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AI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原点社区公共空间整治项目。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32"/>
          <w:szCs w:val="32"/>
          <w:lang w:val="zh-CN" w:eastAsia="zh-CN" w:bidi="ar-SA"/>
        </w:rPr>
        <w:t>加强生态环境保护</w:t>
      </w:r>
      <w:bookmarkEnd w:id="49"/>
      <w:r>
        <w:rPr>
          <w:rFonts w:hint="default" w:ascii="Times New Roman Regular" w:hAnsi="Times New Roman Regular" w:eastAsia="仿宋_GB2312" w:cs="Times New Roman Regular"/>
          <w:b/>
          <w:bCs w:val="0"/>
          <w:color w:val="000000"/>
          <w:kern w:val="0"/>
          <w:sz w:val="32"/>
          <w:szCs w:val="32"/>
          <w:lang w:val="zh-CN" w:eastAsia="zh-CN" w:bidi="ar-SA"/>
        </w:rPr>
        <w:t>。</w:t>
      </w:r>
      <w:bookmarkStart w:id="50" w:name="OLE_LINK55"/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加强道路环境卫生分级分类管理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0"/>
          <w:sz w:val="32"/>
          <w:szCs w:val="32"/>
        </w:rPr>
        <w:t>落实“门前三包”要求，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0"/>
          <w:sz w:val="32"/>
          <w:szCs w:val="32"/>
          <w:lang w:eastAsia="zh-CN"/>
        </w:rPr>
        <w:t>组织社会力量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0"/>
          <w:sz w:val="32"/>
          <w:szCs w:val="32"/>
        </w:rPr>
        <w:t>参与扫雪铲冰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启动</w:t>
      </w:r>
      <w:r>
        <w:rPr>
          <w:rFonts w:hint="default" w:ascii="Times New Roman Regular" w:hAnsi="Times New Roman Regular" w:eastAsia="仿宋_GB2312" w:cs="Times New Roman Regular"/>
          <w:color w:val="auto"/>
          <w:spacing w:val="0"/>
          <w:position w:val="0"/>
          <w:sz w:val="32"/>
          <w:szCs w:val="32"/>
          <w:shd w:val="clear" w:fill="auto"/>
        </w:rPr>
        <w:t>科技园周边绿地提升项目</w:t>
      </w:r>
      <w:r>
        <w:rPr>
          <w:rFonts w:hint="default" w:ascii="Times New Roman Regular" w:hAnsi="Times New Roman Regular" w:eastAsia="仿宋_GB2312" w:cs="Times New Roman Regular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，加快</w:t>
      </w:r>
      <w:r>
        <w:rPr>
          <w:rFonts w:hint="eastAsia" w:ascii="Times New Roman Regular" w:hAnsi="Times New Roman Regular" w:eastAsia="仿宋_GB2312" w:cs="Times New Roman Regular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实施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清河滨水绿廊景观提升工程，打造更多绿色休闲空间。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0"/>
          <w:sz w:val="32"/>
          <w:szCs w:val="32"/>
          <w:lang w:eastAsia="zh-CN"/>
        </w:rPr>
        <w:t>深入推进开墙透绿，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0"/>
          <w:sz w:val="32"/>
          <w:szCs w:val="32"/>
          <w:lang w:val="en-US" w:eastAsia="zh-CN"/>
        </w:rPr>
        <w:t>拆除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0"/>
          <w:sz w:val="32"/>
          <w:szCs w:val="32"/>
          <w:lang w:eastAsia="zh-CN"/>
        </w:rPr>
        <w:t>清华绿道东侧、八家郊野公园等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kern w:val="0"/>
          <w:sz w:val="32"/>
          <w:szCs w:val="32"/>
          <w:lang w:val="en-US" w:eastAsia="zh-CN"/>
        </w:rPr>
        <w:t>8个点位5190延米围墙，新增450延米绿道，实现园区内外绿地连接贯通。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全面推进水环境综合治理，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启动镇域内合流制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溢流污染治理项目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，改造提升雨污水合流管线895延米。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规范垃圾分类桶身清洗点建设，调整优化考核指标体系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和工作机制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更好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地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调动群众参与垃圾分类的积极性和主动性。</w:t>
      </w:r>
    </w:p>
    <w:bookmarkEnd w:id="50"/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560" w:lineRule="atLeast"/>
        <w:ind w:left="958" w:leftChars="304" w:hanging="320" w:hangingChars="100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</w:pPr>
      <w:bookmarkStart w:id="51" w:name="OLE_LINK30"/>
      <w:bookmarkStart w:id="52" w:name="OLE_LINK56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  <w:t>保障改善</w:t>
      </w:r>
      <w:bookmarkEnd w:id="51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  <w:t>民生，满足群众美好生活新期待</w:t>
      </w:r>
    </w:p>
    <w:bookmarkEnd w:id="52"/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</w:pPr>
      <w:bookmarkStart w:id="53" w:name="OLE_LINK57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zh-CN" w:eastAsia="zh-CN"/>
        </w:rPr>
        <w:t>全面提升社区治理效能</w:t>
      </w:r>
      <w:bookmarkEnd w:id="53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zh-CN" w:eastAsia="zh-CN"/>
        </w:rPr>
        <w:t>。</w:t>
      </w:r>
      <w:bookmarkStart w:id="54" w:name="OLE_LINK60"/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深入实施“共建美好家园”行动，持续开展八进社区活动，广泛发动各方力量参与社区治理，支持奥北社区创建模范社区。主动探索党建赋能物业治理新路径，完善物业服务“大家商量着办”议事机制，搭建共治共建、互融共享大平台，调动物业企业积极性，提升整体服务水平。以“微创新”“微治理”为着力点，实施观景园水系改造等小微空间治理项目，改善社区环境，打造特色社区治理品牌。改善群众居住条件，加快实施观林园18部电梯加装工作。落实好“围着基层转”十项措施，以人工智能技术为基层减负增效，推广全能社工应用平台，为基层干部干事创业营造良好条件。优化调整社区结构，做好办公用房装修改造，合理配置社区资源。实施社工“跃升”计划，培养社区工作全科人才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eastAsia="zh-CN"/>
        </w:rPr>
        <w:t>持续增进民生福祉</w:t>
      </w:r>
      <w:bookmarkEnd w:id="54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eastAsia="zh-CN"/>
        </w:rPr>
        <w:t>。</w:t>
      </w:r>
      <w:bookmarkStart w:id="55" w:name="OLE_LINK61"/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eastAsia="zh-CN"/>
        </w:rPr>
        <w:t>完善多级养老服务网络，挂牌运行镇级养老服务中心，做好龙樾等4个社区养老服务驿站运营管理，新建龙岗社区养老助餐点，优化养老服务设施供给。推广“海淀食堂”品牌，吸引地区餐饮企业加入养老助餐队伍，扩大养老助餐服务覆盖面。完善托育服务体系，丰富“小小孩”多元化托育服务供给，促进健康发展、规范运营。坚持慈善品牌塑造，持续壮大“爱益东升”公益联盟，汇聚支持慈善事业发展更多合力。探索“慈善站+困服所”站所融合发展机制，构建覆盖全面、分层分类的社会救助体系，精准救助困难群众，兜牢民生底线。发挥集成优势，加强窗口管理和政务专员队伍建设，打造政务服务综合体，切实提升服务质量。强化劳动者权益保护，及时处理群体性讨薪突发事件，做好仲裁案件调解，化解劳动纠纷。主动靠前服务，推动文晟家园等回迁小区房产证办理，解决居民后顾之忧。</w:t>
      </w: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zh-CN" w:eastAsia="zh-CN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zh-CN" w:eastAsia="zh-CN"/>
        </w:rPr>
        <w:t>优化公共服务供给</w:t>
      </w:r>
      <w:bookmarkEnd w:id="55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zh-CN" w:eastAsia="zh-CN"/>
        </w:rPr>
        <w:t>。</w:t>
      </w:r>
      <w:bookmarkStart w:id="56" w:name="OLE_LINK62"/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依托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党群服务中心、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文化活动中心、新时代文明实践站等公共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空间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持续开展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  <w:lang w:val="en-US" w:eastAsia="zh-CN"/>
        </w:rPr>
        <w:t>文明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市民艺术节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百姓周末大舞台等文化活动，丰富群众精神文化生活。全面加强文化建设，依托数智化服务平台，打造线上线下一体化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悦读空间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，组织开展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zh-CN" w:eastAsia="zh-CN"/>
        </w:rPr>
        <w:t>读书分享、阅读沙龙系列活动，打造“悦读东升”活动品牌。广泛开展全民健身活动，组织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网球、健步跑等系列培训，提高群众健康素养。</w:t>
      </w:r>
      <w:r>
        <w:rPr>
          <w:rFonts w:hint="default" w:ascii="Times New Roman Regular" w:hAnsi="Times New Roman Regular" w:eastAsia="仿宋_GB2312" w:cs="Times New Roman Regular"/>
          <w:b w:val="0"/>
          <w:kern w:val="2"/>
          <w:sz w:val="32"/>
          <w:szCs w:val="32"/>
          <w:lang w:val="en-US" w:eastAsia="zh-CN" w:bidi="ar-SA"/>
        </w:rPr>
        <w:t>常态化培育孵化社区社会组织，开展心理健康讲座系列活动，打造9个“一社一品”</w:t>
      </w:r>
      <w:bookmarkStart w:id="57" w:name="OLE_LINK35"/>
      <w:r>
        <w:rPr>
          <w:rFonts w:hint="default" w:ascii="Times New Roman Regular" w:hAnsi="Times New Roman Regular" w:eastAsia="仿宋_GB2312" w:cs="Times New Roman Regular"/>
          <w:b w:val="0"/>
          <w:kern w:val="2"/>
          <w:sz w:val="32"/>
          <w:szCs w:val="32"/>
          <w:lang w:val="en-US" w:eastAsia="zh-CN" w:bidi="ar-SA"/>
        </w:rPr>
        <w:t>社会工作专业服务</w:t>
      </w:r>
      <w:bookmarkEnd w:id="57"/>
      <w:r>
        <w:rPr>
          <w:rFonts w:hint="default" w:ascii="Times New Roman Regular" w:hAnsi="Times New Roman Regular" w:eastAsia="仿宋_GB2312" w:cs="Times New Roman Regular"/>
          <w:b w:val="0"/>
          <w:kern w:val="2"/>
          <w:sz w:val="32"/>
          <w:szCs w:val="32"/>
          <w:lang w:val="en-US" w:eastAsia="zh-CN" w:bidi="ar-SA"/>
        </w:rPr>
        <w:t>品牌。</w:t>
      </w:r>
    </w:p>
    <w:bookmarkEnd w:id="56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  <w:t>五、</w:t>
      </w:r>
      <w:bookmarkStart w:id="58" w:name="OLE_LINK63"/>
      <w:r>
        <w:rPr>
          <w:rFonts w:hint="default" w:ascii="Times New Roman Regular" w:hAnsi="Times New Roman Regular" w:eastAsia="黑体" w:cs="Times New Roman Regular"/>
          <w:b w:val="0"/>
          <w:bCs w:val="0"/>
          <w:sz w:val="32"/>
          <w:szCs w:val="32"/>
          <w:lang w:val="zh-CN"/>
        </w:rPr>
        <w:t>全面加强自身建设，迈出法治政府建设新步伐</w:t>
      </w:r>
      <w:bookmarkEnd w:id="58"/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bookmarkStart w:id="59" w:name="OLE_LINK64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持续深化作风建设</w:t>
      </w:r>
      <w:bookmarkEnd w:id="59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。</w:t>
      </w:r>
      <w:bookmarkStart w:id="60" w:name="OLE_LINK65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扎实开展“能力作风建设年”活动，聚焦干部能力大提升、作风大转变，不断提升政治三力。全面落实中央八项规定精神，把巡视、审计等问题整改和政府系统党风廉政建设结合起来，常态化开展节前廉洁风险提示和警示教育，营造风清气正的政治生态和干事创业的良好氛围。</w:t>
      </w:r>
    </w:p>
    <w:bookmarkEnd w:id="60"/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bookmarkStart w:id="61" w:name="OLE_LINK66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全面推进依法行政</w:t>
      </w:r>
      <w:bookmarkEnd w:id="61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。</w:t>
      </w:r>
      <w:bookmarkStart w:id="62" w:name="OLE_LINK67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深化落实重大行政决策程序，</w:t>
      </w:r>
      <w:bookmarkStart w:id="63" w:name="OLE_LINK36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加强行政规范性文件管理</w:t>
      </w:r>
      <w:bookmarkEnd w:id="63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，强化政务诚信建设，</w:t>
      </w:r>
      <w:bookmarkStart w:id="64" w:name="OLE_LINK37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自觉接受人大</w:t>
      </w:r>
      <w:bookmarkEnd w:id="64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监督，及时向人大报告工作，支持全国人大常委会预算工作委员会基层联系点工作，主动接受社会和舆论监督。完善法治考核评价机制，发挥领导干部带头作用，推动会前学法常态化制度化，提升领导干部法治素养。着力强化政务公开，创新公开方式，持续提升政务公开质量和水平。坚持依法依规，梳理履行职责事项清单，夯实依法行政基础。</w:t>
      </w:r>
    </w:p>
    <w:bookmarkEnd w:id="62"/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3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bookmarkStart w:id="65" w:name="OLE_LINK68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强化内控体系建设</w:t>
      </w:r>
      <w:bookmarkEnd w:id="65"/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32"/>
          <w:lang w:val="en-US" w:eastAsia="zh-CN"/>
        </w:rPr>
        <w:t>。</w:t>
      </w:r>
      <w:bookmarkStart w:id="66" w:name="OLE_LINK69"/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严肃财经纪律，习惯过紧日子，严格控制一般性支出，大力压缩“三公”经费支出，把有限的资金用于保安全、惠民生、促发展。加强内控管理，着重做好日常审批、预算审核、专项检查等重点领域、关键岗位的风险防控，定期组织风险评估，修订完善公车、采购等各项管理制度，逐步提升管理能力和风险防范水平。加快数字政府建设，整合数据资源，精细化梳理服务事项，探索人工智能技术赋能政务服务，提升政务服务的效率和满意度。</w:t>
      </w:r>
    </w:p>
    <w:bookmarkEnd w:id="66"/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2"/>
          <w:sz w:val="32"/>
          <w:szCs w:val="32"/>
          <w:lang w:val="en-US" w:eastAsia="zh-CN" w:bidi="ar-SA"/>
        </w:rPr>
        <w:t>梦虽遥，追则能达；愿虽艰，持则可圆。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pacing w:val="0"/>
          <w:sz w:val="32"/>
          <w:szCs w:val="32"/>
          <w:u w:val="none"/>
          <w:lang w:bidi="ar"/>
        </w:rPr>
        <w:t>做好明年工作，责任重大、任务艰巨。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pacing w:val="0"/>
          <w:sz w:val="32"/>
          <w:szCs w:val="32"/>
          <w:u w:val="none"/>
          <w:lang w:eastAsia="zh-CN" w:bidi="ar"/>
        </w:rPr>
        <w:t>让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pacing w:val="0"/>
          <w:sz w:val="32"/>
          <w:szCs w:val="32"/>
          <w:u w:val="none"/>
          <w:lang w:bidi="ar"/>
        </w:rPr>
        <w:t>我们更加紧密团结在以习近平同志为核心的党中央周围，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lang w:bidi="ar"/>
        </w:rPr>
        <w:t>坚持以习近平新时代中国特色社会主义思想为指导，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lang w:eastAsia="zh-CN" w:bidi="ar"/>
        </w:rPr>
        <w:t>在区委区政府和镇党委的坚强领导下，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lang w:bidi="ar"/>
        </w:rPr>
        <w:t>锐意进取、勇毅前行，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</w:rPr>
        <w:t>现代化强区高品质海淀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000000"/>
          <w:sz w:val="32"/>
          <w:szCs w:val="32"/>
          <w:lang w:eastAsia="zh-CN"/>
        </w:rPr>
        <w:t>建设做出更大贡献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pacing w:val="-6"/>
          <w:sz w:val="32"/>
          <w:szCs w:val="32"/>
          <w:u w:val="none"/>
          <w:lang w:bidi="ar"/>
        </w:rPr>
        <w:t>！</w:t>
      </w:r>
    </w:p>
    <w:p>
      <w:pP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topLinePunct w:val="0"/>
        <w:bidi w:val="0"/>
        <w:adjustRightInd/>
        <w:spacing w:line="560" w:lineRule="atLeast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7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A6DC2"/>
    <w:multiLevelType w:val="singleLevel"/>
    <w:tmpl w:val="EB5A6DC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29D155"/>
    <w:multiLevelType w:val="singleLevel"/>
    <w:tmpl w:val="5C29D1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1EB3"/>
    <w:rsid w:val="05A531D1"/>
    <w:rsid w:val="0E05748E"/>
    <w:rsid w:val="0FFE46CD"/>
    <w:rsid w:val="10700E26"/>
    <w:rsid w:val="1DA85FB6"/>
    <w:rsid w:val="1E4F41C5"/>
    <w:rsid w:val="201B5BF0"/>
    <w:rsid w:val="26117B5D"/>
    <w:rsid w:val="27B33C90"/>
    <w:rsid w:val="2A35631F"/>
    <w:rsid w:val="2D74241F"/>
    <w:rsid w:val="2D821D81"/>
    <w:rsid w:val="328E4700"/>
    <w:rsid w:val="3DC96B6C"/>
    <w:rsid w:val="428916B8"/>
    <w:rsid w:val="4B28675E"/>
    <w:rsid w:val="4C886DD2"/>
    <w:rsid w:val="4F2A68EE"/>
    <w:rsid w:val="50744D49"/>
    <w:rsid w:val="577F57E9"/>
    <w:rsid w:val="586A1753"/>
    <w:rsid w:val="5A51593C"/>
    <w:rsid w:val="5ADA4F00"/>
    <w:rsid w:val="623C4BC1"/>
    <w:rsid w:val="683919DB"/>
    <w:rsid w:val="6E714440"/>
    <w:rsid w:val="715F3C51"/>
    <w:rsid w:val="726E12CB"/>
    <w:rsid w:val="72E870A2"/>
    <w:rsid w:val="74E47465"/>
    <w:rsid w:val="75767ACF"/>
    <w:rsid w:val="77D46BAD"/>
    <w:rsid w:val="7B9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before="0" w:after="140" w:line="276" w:lineRule="auto"/>
    </w:pPr>
  </w:style>
  <w:style w:type="paragraph" w:customStyle="1" w:styleId="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8"/>
    <w:unhideWhenUsed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2024-09-27T03:11:00Z</dcterms:created>
  <dc:creator>bgs-gy</dc:creator>
  <cp:lastModifiedBy>bgs-gy</cp:lastModifiedBy>
  <cp:lastPrinted>2025-02-13T15:56:00Z</cp:lastPrinted>
  <dcterms:modified xsi:type="dcterms:W3CDTF">2025-04-07T01:37:42Z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793B29EAB64A1CB3EAA3B06713C57E9B_43</vt:lpwstr>
  </property>
</Properties>
</file>