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726D94">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0" w:firstLineChars="0"/>
        <w:jc w:val="center"/>
        <w:textAlignment w:val="auto"/>
        <w:rPr>
          <w:rFonts w:hint="eastAsia" w:ascii="方正小标宋简体" w:hAnsi="方正小标宋简体" w:eastAsia="方正小标宋简体" w:cs="方正小标宋简体"/>
          <w:b/>
          <w:bCs/>
          <w:color w:val="000000"/>
          <w:sz w:val="44"/>
          <w:szCs w:val="44"/>
        </w:rPr>
      </w:pPr>
      <w:r>
        <w:rPr>
          <w:rFonts w:hint="eastAsia" w:ascii="方正小标宋简体" w:hAnsi="方正小标宋简体" w:eastAsia="方正小标宋简体" w:cs="方正小标宋简体"/>
          <w:b/>
          <w:bCs/>
          <w:color w:val="000000"/>
          <w:sz w:val="44"/>
          <w:szCs w:val="44"/>
        </w:rPr>
        <w:t>《海淀区文化和旅游高质量发展若干措施（征求意见稿）》起草说明</w:t>
      </w:r>
    </w:p>
    <w:p w14:paraId="71340B12">
      <w:pPr>
        <w:rPr>
          <w:rFonts w:hint="eastAsia"/>
        </w:rPr>
      </w:pPr>
    </w:p>
    <w:p w14:paraId="7F644F83">
      <w:pPr>
        <w:pStyle w:val="4"/>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黑体" w:hAnsi="黑体" w:eastAsia="黑体" w:cs="黑体"/>
          <w:b w:val="0"/>
          <w:bCs w:val="0"/>
          <w:color w:val="000000"/>
          <w:sz w:val="32"/>
          <w:szCs w:val="32"/>
          <w:lang w:val="en-US" w:eastAsia="zh-CN"/>
        </w:rPr>
      </w:pPr>
      <w:r>
        <w:rPr>
          <w:rFonts w:hint="eastAsia" w:ascii="黑体" w:hAnsi="黑体" w:eastAsia="黑体" w:cs="黑体"/>
          <w:b w:val="0"/>
          <w:bCs w:val="0"/>
          <w:color w:val="000000"/>
          <w:sz w:val="32"/>
          <w:szCs w:val="32"/>
          <w:lang w:val="en-US" w:eastAsia="zh-CN"/>
        </w:rPr>
        <w:t>起草背景</w:t>
      </w:r>
    </w:p>
    <w:p w14:paraId="43F283B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为深入贯彻落实习近平总书记关于文化和旅游工作的重要论述以及上级政策部署的要求，全力服务文化强国战略和首都全国文化中心功能，助力北京国际一流旅游城市和全球旅游目的地建设，发挥文旅为高品质海淀、现代化强区建设服务的功能作用，坚持“以文塑旅、以旅彰文”，推进文化和旅游深度融合，促进海淀区文化和旅游高质量发展，</w:t>
      </w:r>
      <w:r>
        <w:rPr>
          <w:rFonts w:hint="default" w:ascii="Times New Roman" w:hAnsi="Times New Roman" w:eastAsia="仿宋_GB2312" w:cs="Times New Roman"/>
          <w:sz w:val="32"/>
          <w:szCs w:val="32"/>
          <w:highlight w:val="none"/>
          <w:lang w:val="en-US" w:eastAsia="zh-CN"/>
        </w:rPr>
        <w:t>结合区域实际，</w:t>
      </w:r>
      <w:r>
        <w:rPr>
          <w:rFonts w:hint="eastAsia" w:ascii="Times New Roman" w:hAnsi="Times New Roman" w:eastAsia="仿宋_GB2312" w:cs="Times New Roman"/>
          <w:sz w:val="32"/>
          <w:szCs w:val="32"/>
          <w:highlight w:val="none"/>
          <w:lang w:val="en-US" w:eastAsia="zh-CN"/>
        </w:rPr>
        <w:t>海淀区文化和旅游局拟出台《海淀区文化和旅游高质量发展若干措施（征求意见稿）》（以下简称《若干措施》）。</w:t>
      </w:r>
    </w:p>
    <w:p w14:paraId="642E5CD5">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黑体" w:hAnsi="黑体" w:eastAsia="黑体" w:cs="黑体"/>
          <w:b w:val="0"/>
          <w:bCs w:val="0"/>
          <w:color w:val="000000"/>
          <w:sz w:val="32"/>
          <w:szCs w:val="32"/>
          <w:lang w:val="en-US" w:eastAsia="zh-CN"/>
        </w:rPr>
      </w:pPr>
      <w:r>
        <w:rPr>
          <w:rFonts w:hint="eastAsia" w:ascii="黑体" w:hAnsi="黑体" w:eastAsia="黑体" w:cs="黑体"/>
          <w:b w:val="0"/>
          <w:bCs w:val="0"/>
          <w:color w:val="000000"/>
          <w:sz w:val="32"/>
          <w:szCs w:val="32"/>
          <w:lang w:val="en-US" w:eastAsia="zh-CN"/>
        </w:rPr>
        <w:t>二、起草过程</w:t>
      </w:r>
    </w:p>
    <w:p w14:paraId="0BA39F98">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default"/>
          <w:lang w:val="en-US" w:eastAsia="zh-CN"/>
        </w:rPr>
      </w:pPr>
      <w:r>
        <w:rPr>
          <w:rFonts w:hint="eastAsia" w:ascii="Times New Roman" w:hAnsi="Times New Roman" w:eastAsia="仿宋_GB2312" w:cs="Times New Roman"/>
          <w:sz w:val="32"/>
          <w:szCs w:val="32"/>
          <w:highlight w:val="none"/>
          <w:lang w:val="en-US" w:eastAsia="zh-CN"/>
        </w:rPr>
        <w:t>政策制定过程中，区文化和旅游局始终坚持调研先行、集思广益、科学完善的工作原则，扎实推进各项起草筹备工作。为确保政策精准贴合区域实际、直击发展痛点，工作人员深入开展全方位实地调研，</w:t>
      </w:r>
      <w:r>
        <w:rPr>
          <w:rFonts w:hint="default" w:ascii="Times New Roman" w:hAnsi="Times New Roman" w:eastAsia="仿宋_GB2312" w:cs="Times New Roman"/>
          <w:sz w:val="32"/>
          <w:szCs w:val="32"/>
          <w:highlight w:val="none"/>
          <w:lang w:val="en-US" w:eastAsia="zh-CN"/>
        </w:rPr>
        <w:t>全面梳理海淀区文旅资源禀赋、产业基础与科创赋能优势，</w:t>
      </w:r>
      <w:r>
        <w:rPr>
          <w:rFonts w:hint="eastAsia" w:ascii="Times New Roman" w:hAnsi="Times New Roman" w:eastAsia="仿宋_GB2312" w:cs="Times New Roman"/>
          <w:sz w:val="32"/>
          <w:szCs w:val="32"/>
          <w:highlight w:val="none"/>
          <w:lang w:val="en-US" w:eastAsia="zh-CN"/>
        </w:rPr>
        <w:t>全面掌握区域文旅产业发展基础、业态布局与发展短板，精准摸排文旅企业、景区景点、产业园区及各街镇在发展中的实际诉求、面临的现实瓶颈，明确政策扶持重点与发力方向。期间，组织召开全区文旅高质量发展座谈会3次，广泛邀请重点文旅企业、相关街镇及区级职能部门等30</w:t>
      </w:r>
      <w:bookmarkStart w:id="0" w:name="_GoBack"/>
      <w:bookmarkEnd w:id="0"/>
      <w:r>
        <w:rPr>
          <w:rFonts w:hint="eastAsia" w:ascii="Times New Roman" w:hAnsi="Times New Roman" w:eastAsia="仿宋_GB2312" w:cs="Times New Roman"/>
          <w:sz w:val="32"/>
          <w:szCs w:val="32"/>
          <w:highlight w:val="none"/>
          <w:lang w:val="en-US" w:eastAsia="zh-CN"/>
        </w:rPr>
        <w:t>余家单位代表参会，充分听取各方意见建议，对收集到的合理化、可操作建议逐一梳理研究、充分吸纳。同时，组织召开专家论证会2次，邀请文化演艺、文旅新消费、酒店运营等领域资深专家，围绕政策框架、举措可行性、实施路径等进行专业论证、建言献策，经过多轮修改打磨、反复完善，最终形成本《若干措施》（征求意见稿）。</w:t>
      </w:r>
    </w:p>
    <w:p w14:paraId="0A37B959">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黑体" w:hAnsi="黑体" w:eastAsia="黑体" w:cs="黑体"/>
          <w:b w:val="0"/>
          <w:bCs w:val="0"/>
          <w:color w:val="000000"/>
          <w:sz w:val="32"/>
          <w:szCs w:val="32"/>
          <w:lang w:val="en-US" w:eastAsia="zh-CN"/>
        </w:rPr>
      </w:pPr>
      <w:r>
        <w:rPr>
          <w:rFonts w:hint="eastAsia" w:ascii="黑体" w:hAnsi="黑体" w:eastAsia="黑体" w:cs="黑体"/>
          <w:b w:val="0"/>
          <w:bCs w:val="0"/>
          <w:color w:val="000000"/>
          <w:sz w:val="32"/>
          <w:szCs w:val="32"/>
          <w:lang w:val="en-US" w:eastAsia="zh-CN"/>
        </w:rPr>
        <w:t>二、主要内容</w:t>
      </w:r>
    </w:p>
    <w:p w14:paraId="18DD58E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仿宋_GB2312" w:eastAsia="仿宋_GB2312" w:cs="仿宋_GB2312"/>
          <w:b w:val="0"/>
          <w:bCs w:val="0"/>
          <w:color w:val="000000"/>
          <w:kern w:val="0"/>
          <w:sz w:val="32"/>
          <w:szCs w:val="32"/>
          <w:lang w:val="en-US" w:eastAsia="zh-CN" w:bidi="ar"/>
        </w:rPr>
      </w:pPr>
      <w:r>
        <w:rPr>
          <w:rFonts w:hint="eastAsia" w:ascii="仿宋_GB2312" w:hAnsi="仿宋_GB2312" w:eastAsia="仿宋_GB2312" w:cs="仿宋_GB2312"/>
          <w:b w:val="0"/>
          <w:bCs w:val="0"/>
          <w:color w:val="000000"/>
          <w:kern w:val="0"/>
          <w:sz w:val="32"/>
          <w:szCs w:val="32"/>
          <w:lang w:val="en-US" w:eastAsia="zh-CN" w:bidi="ar"/>
        </w:rPr>
        <w:t>《若干措施》（征求意见稿）立足海淀区文旅发展实际，聚焦文旅高质量发展核心任务，紧扣8条核心举措，每条对应一个重点方向，统筹项目建设、产业培育、消费升级、融合发展、服务保障等关键环节。</w:t>
      </w:r>
    </w:p>
    <w:p w14:paraId="4AD10397">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仿宋_GB2312" w:eastAsia="仿宋_GB2312" w:cs="仿宋_GB2312"/>
          <w:b w:val="0"/>
          <w:bCs w:val="0"/>
          <w:color w:val="000000"/>
          <w:kern w:val="0"/>
          <w:sz w:val="32"/>
          <w:szCs w:val="32"/>
          <w:lang w:val="en-US" w:eastAsia="zh-CN" w:bidi="ar"/>
        </w:rPr>
      </w:pPr>
      <w:r>
        <w:rPr>
          <w:rFonts w:hint="eastAsia" w:ascii="仿宋_GB2312" w:hAnsi="仿宋_GB2312" w:eastAsia="仿宋_GB2312" w:cs="仿宋_GB2312"/>
          <w:b w:val="0"/>
          <w:bCs w:val="0"/>
          <w:color w:val="000000"/>
          <w:kern w:val="0"/>
          <w:sz w:val="32"/>
          <w:szCs w:val="32"/>
          <w:lang w:val="en-US" w:eastAsia="zh-CN" w:bidi="ar"/>
        </w:rPr>
        <w:t>第一，推进重点文旅项目建设。支持三山五园、西山等重点区域文旅项目实施，推动文化资源活化利用，加快高品质文旅地标打造，提升核心文旅载体承载能力。</w:t>
      </w:r>
    </w:p>
    <w:p w14:paraId="1C14992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仿宋_GB2312" w:eastAsia="仿宋_GB2312" w:cs="仿宋_GB2312"/>
          <w:b w:val="0"/>
          <w:bCs w:val="0"/>
          <w:color w:val="000000"/>
          <w:kern w:val="0"/>
          <w:sz w:val="32"/>
          <w:szCs w:val="32"/>
          <w:lang w:val="en-US" w:eastAsia="zh-CN" w:bidi="ar"/>
        </w:rPr>
      </w:pPr>
      <w:r>
        <w:rPr>
          <w:rFonts w:hint="eastAsia" w:ascii="仿宋_GB2312" w:hAnsi="仿宋_GB2312" w:eastAsia="仿宋_GB2312" w:cs="仿宋_GB2312"/>
          <w:b w:val="0"/>
          <w:bCs w:val="0"/>
          <w:color w:val="000000"/>
          <w:kern w:val="0"/>
          <w:sz w:val="32"/>
          <w:szCs w:val="32"/>
          <w:lang w:val="en-US" w:eastAsia="zh-CN" w:bidi="ar"/>
        </w:rPr>
        <w:t>第二，培育文旅消费新场景新业态。鼓励发展沉浸式演艺、数字文旅体验等新型消费场景，支持科技赋能文旅体验升级，丰富消费供给，激发文旅消费潜力，促进文旅商体园农业态联动融合。</w:t>
      </w:r>
    </w:p>
    <w:p w14:paraId="1EEED47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仿宋_GB2312" w:eastAsia="仿宋_GB2312" w:cs="仿宋_GB2312"/>
          <w:b w:val="0"/>
          <w:bCs w:val="0"/>
          <w:color w:val="000000"/>
          <w:kern w:val="0"/>
          <w:sz w:val="32"/>
          <w:szCs w:val="32"/>
          <w:lang w:val="en-US" w:eastAsia="zh-CN" w:bidi="ar"/>
        </w:rPr>
      </w:pPr>
      <w:r>
        <w:rPr>
          <w:rFonts w:hint="eastAsia" w:ascii="仿宋_GB2312" w:hAnsi="仿宋_GB2312" w:eastAsia="仿宋_GB2312" w:cs="仿宋_GB2312"/>
          <w:b w:val="0"/>
          <w:bCs w:val="0"/>
          <w:color w:val="000000"/>
          <w:kern w:val="0"/>
          <w:sz w:val="32"/>
          <w:szCs w:val="32"/>
          <w:lang w:val="en-US" w:eastAsia="zh-CN" w:bidi="ar"/>
        </w:rPr>
        <w:t>第三，繁荣演艺市场发展。鼓励优秀演艺作品、原创剧目创作，支持市场号召力的各类营业性演出和特色演艺精品，扶持本土演艺机构，完善产业链配套，打造区域特色演艺品牌。</w:t>
      </w:r>
    </w:p>
    <w:p w14:paraId="60FAEEAC">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lang w:val="en-US" w:eastAsia="zh-CN"/>
        </w:rPr>
      </w:pPr>
      <w:r>
        <w:rPr>
          <w:rFonts w:hint="eastAsia" w:ascii="仿宋_GB2312" w:hAnsi="仿宋_GB2312" w:eastAsia="仿宋_GB2312" w:cs="仿宋_GB2312"/>
          <w:b w:val="0"/>
          <w:bCs w:val="0"/>
          <w:color w:val="000000"/>
          <w:kern w:val="0"/>
          <w:sz w:val="32"/>
          <w:szCs w:val="32"/>
          <w:lang w:val="en-US" w:eastAsia="zh-CN" w:bidi="ar"/>
        </w:rPr>
        <w:t>第四，壮大文旅市场主体。加大对文旅产业链的培育力度，推动上下游业态联动、资源共享，提升产业整体效能；扶持中小文旅企业发展，构建梯度培育体系，增强文旅产业整体竞争力。</w:t>
      </w:r>
    </w:p>
    <w:p w14:paraId="11F09DAE">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仿宋_GB2312" w:eastAsia="仿宋_GB2312" w:cs="仿宋_GB2312"/>
          <w:b w:val="0"/>
          <w:bCs w:val="0"/>
          <w:color w:val="000000"/>
          <w:kern w:val="0"/>
          <w:sz w:val="32"/>
          <w:szCs w:val="32"/>
          <w:lang w:val="en-US" w:eastAsia="zh-CN" w:bidi="ar"/>
        </w:rPr>
      </w:pPr>
      <w:r>
        <w:rPr>
          <w:rFonts w:hint="eastAsia" w:ascii="仿宋_GB2312" w:hAnsi="仿宋_GB2312" w:eastAsia="仿宋_GB2312" w:cs="仿宋_GB2312"/>
          <w:b w:val="0"/>
          <w:bCs w:val="0"/>
          <w:color w:val="000000"/>
          <w:kern w:val="0"/>
          <w:sz w:val="32"/>
          <w:szCs w:val="32"/>
          <w:lang w:val="en-US" w:eastAsia="zh-CN" w:bidi="ar"/>
        </w:rPr>
        <w:t>第五，促进文旅跨界融合发展。推动科技、教育、商业、体育、乡村等领域与文旅深度融合，发展研学旅游、乡村文旅、入境旅游等融合业态，拓展文旅发展边界，提升产业综合效益。</w:t>
      </w:r>
    </w:p>
    <w:p w14:paraId="2AD4D45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仿宋_GB2312" w:eastAsia="仿宋_GB2312" w:cs="仿宋_GB2312"/>
          <w:b w:val="0"/>
          <w:bCs w:val="0"/>
          <w:color w:val="000000"/>
          <w:kern w:val="0"/>
          <w:sz w:val="32"/>
          <w:szCs w:val="32"/>
          <w:lang w:val="en-US" w:eastAsia="zh-CN" w:bidi="ar"/>
        </w:rPr>
      </w:pPr>
      <w:r>
        <w:rPr>
          <w:rFonts w:hint="eastAsia" w:ascii="仿宋_GB2312" w:hAnsi="仿宋_GB2312" w:eastAsia="仿宋_GB2312" w:cs="仿宋_GB2312"/>
          <w:b w:val="0"/>
          <w:bCs w:val="0"/>
          <w:color w:val="000000"/>
          <w:kern w:val="0"/>
          <w:sz w:val="32"/>
          <w:szCs w:val="32"/>
          <w:lang w:val="en-US" w:eastAsia="zh-CN" w:bidi="ar"/>
        </w:rPr>
        <w:t>第六，推动节事经济快速增长。倡导“跟着展演会赛去旅行”模式，鼓励大型文旅活动组织方联动周边文旅消费商户，建立消费联动机制，吸纳商户广泛参与，激发节事经济活力。</w:t>
      </w:r>
    </w:p>
    <w:p w14:paraId="26C7EC8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仿宋_GB2312" w:eastAsia="仿宋_GB2312" w:cs="仿宋_GB2312"/>
          <w:b w:val="0"/>
          <w:bCs w:val="0"/>
          <w:color w:val="000000"/>
          <w:kern w:val="0"/>
          <w:sz w:val="32"/>
          <w:szCs w:val="32"/>
          <w:lang w:val="en-US" w:eastAsia="zh-CN" w:bidi="ar"/>
        </w:rPr>
      </w:pPr>
      <w:r>
        <w:rPr>
          <w:rFonts w:hint="eastAsia" w:ascii="仿宋_GB2312" w:hAnsi="仿宋_GB2312" w:eastAsia="仿宋_GB2312" w:cs="仿宋_GB2312"/>
          <w:b w:val="0"/>
          <w:bCs w:val="0"/>
          <w:color w:val="000000"/>
          <w:kern w:val="0"/>
          <w:sz w:val="32"/>
          <w:szCs w:val="32"/>
          <w:lang w:val="en-US" w:eastAsia="zh-CN" w:bidi="ar"/>
        </w:rPr>
        <w:t>第七，加强文旅要素品质升级。鼓励文旅相关主体争取各级文旅品牌荣誉，支持景区、酒店等进行软硬件升级及品牌化管理，打造具有影响力的海淀文旅IP，研发特色文旅产品。完善产业发展基础要素，提升服务品质与运营效能。</w:t>
      </w:r>
    </w:p>
    <w:p w14:paraId="78627AB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仿宋_GB2312" w:eastAsia="仿宋_GB2312" w:cs="仿宋_GB2312"/>
          <w:b w:val="0"/>
          <w:bCs w:val="0"/>
          <w:color w:val="000000"/>
          <w:kern w:val="0"/>
          <w:sz w:val="32"/>
          <w:szCs w:val="32"/>
          <w:lang w:val="en-US" w:eastAsia="zh-CN" w:bidi="ar"/>
        </w:rPr>
      </w:pPr>
      <w:r>
        <w:rPr>
          <w:rFonts w:hint="eastAsia" w:ascii="仿宋_GB2312" w:hAnsi="仿宋_GB2312" w:eastAsia="仿宋_GB2312" w:cs="仿宋_GB2312"/>
          <w:b w:val="0"/>
          <w:bCs w:val="0"/>
          <w:color w:val="000000"/>
          <w:kern w:val="0"/>
          <w:sz w:val="32"/>
          <w:szCs w:val="32"/>
          <w:lang w:val="en-US" w:eastAsia="zh-CN" w:bidi="ar"/>
        </w:rPr>
        <w:t>第八，打造国际化文旅品质环境。完善国际化服务配套与多语种服务体系，促进文旅消费服务设施品质提升，提升境外游客的接待能力，提升海淀文旅国际化水平。</w:t>
      </w:r>
    </w:p>
    <w:p w14:paraId="6F9696DA">
      <w:pPr>
        <w:keepNext w:val="0"/>
        <w:keepLines w:val="0"/>
        <w:widowControl/>
        <w:suppressLineNumbers w:val="0"/>
        <w:jc w:val="left"/>
      </w:pPr>
    </w:p>
    <w:p w14:paraId="1793D447">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仿宋_GB2312" w:eastAsia="仿宋_GB2312" w:cs="仿宋_GB2312"/>
          <w:b w:val="0"/>
          <w:bCs w:val="0"/>
          <w:color w:val="000000"/>
          <w:kern w:val="0"/>
          <w:sz w:val="32"/>
          <w:szCs w:val="32"/>
          <w:lang w:val="en-US" w:eastAsia="zh-CN" w:bidi="ar"/>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01"/>
    <w:family w:val="auto"/>
    <w:pitch w:val="default"/>
    <w:sig w:usb0="E0000AFF" w:usb1="00007843" w:usb2="00000001" w:usb3="00000000" w:csb0="400001BF" w:csb1="DFF70000"/>
    <w:embedRegular r:id="rId1" w:fontKey="{5F75C44F-CA29-7047-4EE2-E66939A8681D}"/>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方正小标宋简体">
    <w:panose1 w:val="03000509000000000000"/>
    <w:charset w:val="86"/>
    <w:family w:val="auto"/>
    <w:pitch w:val="default"/>
    <w:sig w:usb0="00000001" w:usb1="080E0000" w:usb2="00000000" w:usb3="00000000" w:csb0="00040000" w:csb1="00000000"/>
    <w:embedRegular r:id="rId2" w:fontKey="{69D9E3F8-AC7C-CCC0-4EE2-E669F746721F}"/>
  </w:font>
  <w:font w:name="仿宋_GB2312">
    <w:altName w:val="方正仿宋_GBK"/>
    <w:panose1 w:val="02010609030101010101"/>
    <w:charset w:val="86"/>
    <w:family w:val="auto"/>
    <w:pitch w:val="default"/>
    <w:sig w:usb0="00000000" w:usb1="00000000" w:usb2="00000000" w:usb3="00000000" w:csb0="00040000"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汉仪中黑KW">
    <w:panose1 w:val="00020600040101010101"/>
    <w:charset w:val="86"/>
    <w:family w:val="auto"/>
    <w:pitch w:val="default"/>
    <w:sig w:usb0="A00002BF" w:usb1="18EF7CFA" w:usb2="00000016" w:usb3="00000000" w:csb0="00040000" w:csb1="00000000"/>
  </w:font>
  <w:font w:name="方正仿宋_GBK">
    <w:panose1 w:val="02000000000000000000"/>
    <w:charset w:val="86"/>
    <w:family w:val="auto"/>
    <w:pitch w:val="default"/>
    <w:sig w:usb0="A00002BF" w:usb1="38CF7CFA" w:usb2="00082016" w:usb3="00000000" w:csb0="00040001" w:csb1="00000000"/>
  </w:font>
  <w:font w:name="Kingsoft Sign">
    <w:panose1 w:val="05050102010706020507"/>
    <w:charset w:val="00"/>
    <w:family w:val="auto"/>
    <w:pitch w:val="default"/>
    <w:sig w:usb0="00000000" w:usb1="1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2F3DA3C"/>
    <w:multiLevelType w:val="singleLevel"/>
    <w:tmpl w:val="32F3DA3C"/>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EF5BA2"/>
    <w:rsid w:val="00F705B3"/>
    <w:rsid w:val="014707D5"/>
    <w:rsid w:val="01F86CD9"/>
    <w:rsid w:val="02C32E43"/>
    <w:rsid w:val="03181518"/>
    <w:rsid w:val="03265180"/>
    <w:rsid w:val="039A1E78"/>
    <w:rsid w:val="057810E3"/>
    <w:rsid w:val="06D161A7"/>
    <w:rsid w:val="07A529B5"/>
    <w:rsid w:val="0A552200"/>
    <w:rsid w:val="0BCD4D32"/>
    <w:rsid w:val="0C50423D"/>
    <w:rsid w:val="0E462B7A"/>
    <w:rsid w:val="0F362BEE"/>
    <w:rsid w:val="130D32C4"/>
    <w:rsid w:val="132A204E"/>
    <w:rsid w:val="13B63B73"/>
    <w:rsid w:val="14603804"/>
    <w:rsid w:val="14B41806"/>
    <w:rsid w:val="14D94EF4"/>
    <w:rsid w:val="15826B8D"/>
    <w:rsid w:val="1745083A"/>
    <w:rsid w:val="1C2E35CB"/>
    <w:rsid w:val="1E3824DF"/>
    <w:rsid w:val="1E4E1D03"/>
    <w:rsid w:val="1ECD7650"/>
    <w:rsid w:val="1FFB37C4"/>
    <w:rsid w:val="20C718F8"/>
    <w:rsid w:val="20DB75CF"/>
    <w:rsid w:val="23B91729"/>
    <w:rsid w:val="23E2706A"/>
    <w:rsid w:val="24572B1C"/>
    <w:rsid w:val="24D9609E"/>
    <w:rsid w:val="24F66C50"/>
    <w:rsid w:val="251B38EF"/>
    <w:rsid w:val="2520675E"/>
    <w:rsid w:val="254C4AC2"/>
    <w:rsid w:val="255120D8"/>
    <w:rsid w:val="260F621B"/>
    <w:rsid w:val="27541A82"/>
    <w:rsid w:val="29303551"/>
    <w:rsid w:val="2CD21EE1"/>
    <w:rsid w:val="2DCA0BD5"/>
    <w:rsid w:val="2ED32AAD"/>
    <w:rsid w:val="30240B15"/>
    <w:rsid w:val="30416F06"/>
    <w:rsid w:val="305331A8"/>
    <w:rsid w:val="30DA11D4"/>
    <w:rsid w:val="319B5923"/>
    <w:rsid w:val="32A2519F"/>
    <w:rsid w:val="351B09A1"/>
    <w:rsid w:val="36676F4F"/>
    <w:rsid w:val="36E06005"/>
    <w:rsid w:val="3AD17254"/>
    <w:rsid w:val="3AEE41FA"/>
    <w:rsid w:val="3C16484B"/>
    <w:rsid w:val="3CEB6517"/>
    <w:rsid w:val="3F9609BC"/>
    <w:rsid w:val="41503538"/>
    <w:rsid w:val="41DC783A"/>
    <w:rsid w:val="43650DD1"/>
    <w:rsid w:val="44A678F3"/>
    <w:rsid w:val="46B21C2E"/>
    <w:rsid w:val="4A1A65A1"/>
    <w:rsid w:val="4ACC5BD9"/>
    <w:rsid w:val="4CCE3E8B"/>
    <w:rsid w:val="4E28686B"/>
    <w:rsid w:val="4E760336"/>
    <w:rsid w:val="4FD2187E"/>
    <w:rsid w:val="521F4258"/>
    <w:rsid w:val="525C3CE7"/>
    <w:rsid w:val="53230AA3"/>
    <w:rsid w:val="53D43F85"/>
    <w:rsid w:val="55A15289"/>
    <w:rsid w:val="55F61D5C"/>
    <w:rsid w:val="56E65920"/>
    <w:rsid w:val="570A485B"/>
    <w:rsid w:val="57594102"/>
    <w:rsid w:val="57E973C5"/>
    <w:rsid w:val="58AB5080"/>
    <w:rsid w:val="58B2725E"/>
    <w:rsid w:val="58F76517"/>
    <w:rsid w:val="59710078"/>
    <w:rsid w:val="59B241EC"/>
    <w:rsid w:val="5B800A46"/>
    <w:rsid w:val="5BBC0F75"/>
    <w:rsid w:val="5D3C274B"/>
    <w:rsid w:val="5DA73435"/>
    <w:rsid w:val="5F55367B"/>
    <w:rsid w:val="5FBF25BC"/>
    <w:rsid w:val="61882C41"/>
    <w:rsid w:val="62D376AD"/>
    <w:rsid w:val="65DC0944"/>
    <w:rsid w:val="66D8674A"/>
    <w:rsid w:val="6A5F487B"/>
    <w:rsid w:val="6AE663EC"/>
    <w:rsid w:val="6B5E41D4"/>
    <w:rsid w:val="6D1D3C35"/>
    <w:rsid w:val="6D836174"/>
    <w:rsid w:val="6E2B45CE"/>
    <w:rsid w:val="6F8C3F9E"/>
    <w:rsid w:val="6FD11419"/>
    <w:rsid w:val="7346211D"/>
    <w:rsid w:val="75733182"/>
    <w:rsid w:val="769F4608"/>
    <w:rsid w:val="773A78A3"/>
    <w:rsid w:val="776C5E7A"/>
    <w:rsid w:val="7844395F"/>
    <w:rsid w:val="7A067F11"/>
    <w:rsid w:val="7C606690"/>
    <w:rsid w:val="7E236693"/>
    <w:rsid w:val="7F572FBC"/>
    <w:rsid w:val="DE6FBA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4">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5">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Normal Indent"/>
    <w:basedOn w:val="1"/>
    <w:qFormat/>
    <w:uiPriority w:val="0"/>
  </w:style>
  <w:style w:type="paragraph" w:styleId="6">
    <w:name w:val="Normal (Web)"/>
    <w:unhideWhenUsed/>
    <w:qFormat/>
    <w:uiPriority w:val="99"/>
    <w:pPr>
      <w:widowControl w:val="0"/>
      <w:suppressAutoHyphens/>
      <w:spacing w:before="100" w:beforeAutospacing="1" w:after="100" w:afterAutospacing="1"/>
      <w:ind w:left="0" w:right="0"/>
      <w:jc w:val="left"/>
    </w:pPr>
    <w:rPr>
      <w:rFonts w:ascii="Calibri" w:hAnsi="Calibri" w:eastAsia="宋体" w:cs="Times New Roman"/>
      <w:kern w:val="0"/>
      <w:sz w:val="24"/>
      <w:szCs w:val="24"/>
      <w:lang w:val="en-US" w:eastAsia="zh-CN" w:bidi="ar"/>
    </w:rPr>
  </w:style>
  <w:style w:type="character" w:styleId="9">
    <w:name w:val="Strong"/>
    <w:basedOn w:val="8"/>
    <w:qFormat/>
    <w:uiPriority w:val="0"/>
    <w:rPr>
      <w:b/>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numbering" Target="numbering.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1371</Words>
  <Characters>1373</Characters>
  <Lines>0</Lines>
  <Paragraphs>0</Paragraphs>
  <TotalTime>14</TotalTime>
  <ScaleCrop>false</ScaleCrop>
  <LinksUpToDate>false</LinksUpToDate>
  <CharactersWithSpaces>1373</CharactersWithSpaces>
  <Application>WPS Office_12.1.24031.24031_F1E327BC-269C-435d-A152-05C5408002CA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2026-04-13T14:36:00Z</dcterms:created>
  <dc:creator>yt</dc:creator>
  <cp:lastModifiedBy>crystal</cp:lastModifiedBy>
  <dcterms:modified xsi:type="dcterms:W3CDTF">2026-04-21T10:34:54Z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2052-12.1.24031.24031</vt:lpwstr>
  </property>
  <property fmtid="{D5CDD505-2E9C-101B-9397-08002B2CF9AE}" pid="3" name="KSOTemplateDocerSaveRecord">
    <vt:lpwstr>eyJoZGlkIjoiNzQzMzcyZTgwYzZhZDkxZTViMjliNjA4NDg1MmU3NjQiLCJ1c2VySWQiOiIxMDMyMDM1NjgzIn0=</vt:lpwstr>
  </property>
  <property fmtid="{D5CDD505-2E9C-101B-9397-08002B2CF9AE}" pid="4" name="ICV">
    <vt:lpwstr>05EDE0553D9956E44EE2E66917256764_43</vt:lpwstr>
  </property>
</Properties>
</file>