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方正小标宋_GBK" w:hAnsi="Cambria" w:eastAsia="方正小标宋_GBK" w:cs="Times New Roman"/>
          <w:bCs/>
          <w:sz w:val="44"/>
          <w:szCs w:val="44"/>
        </w:rPr>
      </w:pPr>
      <w:r>
        <w:rPr>
          <w:rFonts w:hint="eastAsia" w:ascii="方正小标宋_GBK" w:hAnsi="Cambria" w:eastAsia="方正小标宋_GBK" w:cs="Times New Roman"/>
          <w:bCs/>
          <w:sz w:val="44"/>
          <w:szCs w:val="44"/>
        </w:rPr>
        <w:t>北京市海淀区商务局</w:t>
      </w:r>
    </w:p>
    <w:p>
      <w:pPr>
        <w:spacing w:line="560" w:lineRule="exact"/>
        <w:jc w:val="center"/>
        <w:rPr>
          <w:rFonts w:ascii="方正小标宋_GBK" w:hAnsi="Cambria" w:eastAsia="方正小标宋_GBK" w:cs="Times New Roman"/>
          <w:bCs/>
          <w:sz w:val="44"/>
          <w:szCs w:val="44"/>
        </w:rPr>
      </w:pPr>
      <w:r>
        <w:rPr>
          <w:rFonts w:hint="eastAsia" w:ascii="方正小标宋_GBK" w:hAnsi="Cambria" w:eastAsia="方正小标宋_GBK" w:cs="Times New Roman"/>
          <w:bCs/>
          <w:sz w:val="44"/>
          <w:szCs w:val="44"/>
        </w:rPr>
        <w:t>2020年进一步促进消费能级专项项目</w:t>
      </w:r>
    </w:p>
    <w:p>
      <w:pPr>
        <w:spacing w:line="560" w:lineRule="exact"/>
        <w:jc w:val="center"/>
        <w:rPr>
          <w:rFonts w:ascii="方正小标宋_GBK" w:hAnsi="Cambria" w:eastAsia="方正小标宋_GBK" w:cs="Times New Roman"/>
          <w:bCs/>
          <w:sz w:val="44"/>
          <w:szCs w:val="44"/>
        </w:rPr>
      </w:pPr>
      <w:r>
        <w:rPr>
          <w:rFonts w:hint="eastAsia" w:ascii="方正小标宋_GBK" w:hAnsi="Cambria" w:eastAsia="方正小标宋_GBK" w:cs="Times New Roman"/>
          <w:bCs/>
          <w:sz w:val="44"/>
          <w:szCs w:val="44"/>
        </w:rPr>
        <w:t>绩效评价报告</w:t>
      </w:r>
    </w:p>
    <w:p>
      <w:pPr>
        <w:pStyle w:val="2"/>
      </w:pPr>
    </w:p>
    <w:p>
      <w:pPr>
        <w:snapToGrid w:val="0"/>
        <w:spacing w:line="440" w:lineRule="exact"/>
        <w:ind w:firstLine="481" w:firstLineChars="200"/>
        <w:outlineLvl w:val="0"/>
        <w:rPr>
          <w:rFonts w:ascii="宋体" w:hAnsi="宋体" w:eastAsia="宋体" w:cs="Times New Roman"/>
          <w:b/>
          <w:bCs/>
          <w:sz w:val="24"/>
          <w:szCs w:val="24"/>
        </w:rPr>
      </w:pPr>
      <w:r>
        <w:rPr>
          <w:rFonts w:hint="eastAsia" w:ascii="宋体" w:hAnsi="宋体" w:eastAsia="宋体" w:cs="Times New Roman"/>
          <w:b/>
          <w:bCs/>
          <w:sz w:val="24"/>
          <w:szCs w:val="24"/>
        </w:rPr>
        <w:t>一、项目概况</w:t>
      </w:r>
      <w:bookmarkStart w:id="6" w:name="_GoBack"/>
      <w:bookmarkEnd w:id="6"/>
    </w:p>
    <w:p>
      <w:pPr>
        <w:snapToGrid w:val="0"/>
        <w:spacing w:line="440" w:lineRule="exact"/>
        <w:ind w:firstLine="481" w:firstLineChars="200"/>
        <w:outlineLvl w:val="1"/>
        <w:rPr>
          <w:rFonts w:ascii="宋体" w:hAnsi="宋体" w:eastAsia="宋体" w:cs="Times New Roman"/>
          <w:b/>
          <w:bCs/>
          <w:sz w:val="24"/>
          <w:szCs w:val="24"/>
        </w:rPr>
      </w:pPr>
      <w:bookmarkStart w:id="0" w:name="_Toc10662"/>
      <w:r>
        <w:rPr>
          <w:rFonts w:hint="eastAsia" w:ascii="宋体" w:hAnsi="宋体" w:eastAsia="宋体" w:cs="Times New Roman"/>
          <w:b/>
          <w:bCs/>
          <w:sz w:val="24"/>
          <w:szCs w:val="24"/>
        </w:rPr>
        <w:t>（一）项目</w:t>
      </w:r>
      <w:bookmarkEnd w:id="0"/>
      <w:r>
        <w:rPr>
          <w:rFonts w:hint="eastAsia" w:ascii="宋体" w:hAnsi="宋体" w:eastAsia="宋体" w:cs="Times New Roman"/>
          <w:b/>
          <w:bCs/>
          <w:sz w:val="24"/>
          <w:szCs w:val="24"/>
        </w:rPr>
        <w:t>概述</w:t>
      </w:r>
    </w:p>
    <w:p>
      <w:pPr>
        <w:snapToGrid w:val="0"/>
        <w:spacing w:line="440" w:lineRule="exact"/>
        <w:ind w:firstLine="480" w:firstLineChars="200"/>
        <w:rPr>
          <w:rFonts w:ascii="宋体" w:hAnsi="宋体" w:eastAsia="宋体"/>
          <w:sz w:val="24"/>
          <w:szCs w:val="24"/>
        </w:rPr>
      </w:pPr>
      <w:r>
        <w:rPr>
          <w:rFonts w:hint="eastAsia" w:ascii="宋体" w:hAnsi="宋体" w:eastAsia="宋体"/>
          <w:sz w:val="24"/>
          <w:szCs w:val="24"/>
        </w:rPr>
        <w:t>1.项目立项背景。2009年以来，为进一步推动海淀区区域商业服务业企业更好更快地发展，海淀区区政府设立了</w:t>
      </w:r>
      <w:r>
        <w:rPr>
          <w:rFonts w:hint="eastAsia" w:ascii="宋体" w:hAnsi="宋体" w:eastAsia="宋体"/>
          <w:b/>
          <w:bCs/>
          <w:sz w:val="24"/>
          <w:szCs w:val="24"/>
        </w:rPr>
        <w:t>促进商业服务业发展专项资金</w:t>
      </w:r>
      <w:r>
        <w:rPr>
          <w:rFonts w:hint="eastAsia" w:ascii="宋体" w:hAnsi="宋体" w:eastAsia="宋体"/>
          <w:sz w:val="24"/>
          <w:szCs w:val="24"/>
        </w:rPr>
        <w:t>，并相继出台了《海淀区促进商业服务业暂行办法》、《海淀区促进商业服务业支持办法》《海淀区促进商业服务业发展支持办法》（海行规发〔2012</w:t>
      </w:r>
      <w:r>
        <w:rPr>
          <w:rFonts w:ascii="宋体" w:hAnsi="宋体" w:eastAsia="宋体"/>
          <w:sz w:val="24"/>
          <w:szCs w:val="24"/>
        </w:rPr>
        <w:t>〕</w:t>
      </w:r>
      <w:r>
        <w:rPr>
          <w:rFonts w:hint="eastAsia" w:ascii="宋体" w:hAnsi="宋体" w:eastAsia="宋体"/>
          <w:sz w:val="24"/>
          <w:szCs w:val="24"/>
        </w:rPr>
        <w:t>9号）等实施办法</w:t>
      </w:r>
      <w:r>
        <w:rPr>
          <w:rFonts w:hint="eastAsia" w:ascii="宋体" w:hAnsi="宋体" w:eastAsia="宋体" w:cs="仿宋_GB2312"/>
          <w:sz w:val="24"/>
          <w:szCs w:val="24"/>
        </w:rPr>
        <w:t>。2019年，为培育壮大消费新动能，构筑新时代海淀高质量发展新优势，立足海淀实际，结合国家及北京市促消费系列政策措施，海淀区政府研究提出了《海淀区提升消费能级 提高生活品质三年行动计划（2019-2021）》（海政发〔2019〕5号）（以下简称《行动计划》）。同年9月区商务局在《行动计划</w:t>
      </w:r>
      <w:r>
        <w:rPr>
          <w:rFonts w:ascii="宋体" w:hAnsi="宋体" w:eastAsia="宋体" w:cs="仿宋_GB2312"/>
          <w:sz w:val="24"/>
          <w:szCs w:val="24"/>
        </w:rPr>
        <w:t>》</w:t>
      </w:r>
      <w:r>
        <w:rPr>
          <w:rFonts w:hint="eastAsia" w:ascii="宋体" w:hAnsi="宋体" w:eastAsia="宋体" w:cs="仿宋_GB2312"/>
          <w:sz w:val="24"/>
          <w:szCs w:val="24"/>
        </w:rPr>
        <w:t>、《海淀区生活性服务业规划》</w:t>
      </w:r>
      <w:r>
        <w:rPr>
          <w:rFonts w:ascii="宋体" w:hAnsi="宋体" w:eastAsia="宋体" w:cs="仿宋_GB2312"/>
          <w:sz w:val="24"/>
          <w:szCs w:val="24"/>
        </w:rPr>
        <w:t>总体框架下，</w:t>
      </w:r>
      <w:r>
        <w:rPr>
          <w:rFonts w:hint="eastAsia" w:ascii="宋体" w:hAnsi="宋体" w:eastAsia="宋体" w:cs="仿宋_GB2312"/>
          <w:sz w:val="24"/>
          <w:szCs w:val="24"/>
        </w:rPr>
        <w:t>结合海淀商业服务业行业发展形势，制定了《海淀区进一步促进消费能级提升支持办法》，并将</w:t>
      </w:r>
      <w:r>
        <w:rPr>
          <w:rFonts w:hint="eastAsia" w:ascii="宋体" w:hAnsi="宋体" w:eastAsia="宋体" w:cs="仿宋_GB2312"/>
          <w:b/>
          <w:bCs/>
          <w:sz w:val="24"/>
          <w:szCs w:val="24"/>
        </w:rPr>
        <w:t>“促进商业服务业发展专项资金”</w:t>
      </w:r>
      <w:r>
        <w:rPr>
          <w:rFonts w:hint="eastAsia" w:ascii="宋体" w:hAnsi="宋体" w:eastAsia="宋体" w:cs="仿宋_GB2312"/>
          <w:sz w:val="24"/>
          <w:szCs w:val="24"/>
        </w:rPr>
        <w:t>更名为</w:t>
      </w:r>
      <w:r>
        <w:rPr>
          <w:rFonts w:hint="eastAsia" w:ascii="宋体" w:hAnsi="宋体" w:eastAsia="宋体" w:cs="仿宋_GB2312"/>
          <w:b/>
          <w:bCs/>
          <w:sz w:val="24"/>
          <w:szCs w:val="24"/>
        </w:rPr>
        <w:t>“进一步促进消费能级提升专项”</w:t>
      </w:r>
      <w:r>
        <w:rPr>
          <w:rFonts w:hint="eastAsia" w:ascii="宋体" w:hAnsi="宋体" w:eastAsia="宋体" w:cs="仿宋_GB2312"/>
          <w:sz w:val="24"/>
          <w:szCs w:val="24"/>
        </w:rPr>
        <w:t>。</w:t>
      </w:r>
    </w:p>
    <w:p>
      <w:pPr>
        <w:snapToGrid w:val="0"/>
        <w:spacing w:line="440" w:lineRule="exact"/>
        <w:ind w:firstLine="480" w:firstLineChars="200"/>
        <w:rPr>
          <w:rFonts w:ascii="宋体" w:hAnsi="宋体" w:eastAsia="宋体" w:cs="宋体"/>
          <w:kern w:val="0"/>
          <w:sz w:val="24"/>
          <w:szCs w:val="24"/>
        </w:rPr>
      </w:pPr>
      <w:r>
        <w:rPr>
          <w:rFonts w:hint="eastAsia" w:ascii="宋体" w:hAnsi="宋体" w:eastAsia="宋体"/>
          <w:sz w:val="24"/>
          <w:szCs w:val="24"/>
        </w:rPr>
        <w:t>2.</w:t>
      </w:r>
      <w:r>
        <w:rPr>
          <w:rFonts w:hint="eastAsia" w:ascii="宋体" w:hAnsi="宋体" w:eastAsia="宋体" w:cs="Times New Roman"/>
          <w:sz w:val="24"/>
          <w:szCs w:val="24"/>
        </w:rPr>
        <w:t>项目实施主体。</w:t>
      </w:r>
      <w:r>
        <w:rPr>
          <w:rFonts w:hint="eastAsia" w:ascii="宋体" w:hAnsi="宋体" w:eastAsia="宋体" w:cs="仿宋_GB2312"/>
          <w:sz w:val="24"/>
          <w:szCs w:val="24"/>
        </w:rPr>
        <w:t>该项目由区商务局统筹组织、管理，并负责具体实施</w:t>
      </w:r>
      <w:r>
        <w:rPr>
          <w:rFonts w:hint="eastAsia" w:ascii="宋体" w:hAnsi="宋体" w:eastAsia="宋体" w:cs="宋体"/>
          <w:kern w:val="0"/>
          <w:sz w:val="24"/>
          <w:szCs w:val="24"/>
        </w:rPr>
        <w:t>。</w:t>
      </w:r>
    </w:p>
    <w:p>
      <w:pPr>
        <w:adjustRightInd w:val="0"/>
        <w:snapToGrid w:val="0"/>
        <w:spacing w:line="44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3.项目主要内容。该项目主要用于对完善商业便民体系建设、打造高品质现代生活圈、促进科技赋能模式创新、聚焦行业发展要素四个方面符合标准要求、已完工</w:t>
      </w:r>
      <w:r>
        <w:rPr>
          <w:rFonts w:ascii="宋体" w:hAnsi="宋体" w:eastAsia="宋体" w:cs="Times New Roman"/>
          <w:sz w:val="24"/>
          <w:szCs w:val="24"/>
        </w:rPr>
        <w:t>/现存</w:t>
      </w:r>
      <w:r>
        <w:rPr>
          <w:rFonts w:hint="eastAsia" w:ascii="宋体" w:hAnsi="宋体" w:eastAsia="宋体" w:cs="Times New Roman"/>
          <w:sz w:val="24"/>
          <w:szCs w:val="24"/>
        </w:rPr>
        <w:t>的</w:t>
      </w:r>
      <w:r>
        <w:rPr>
          <w:rFonts w:ascii="宋体" w:hAnsi="宋体" w:eastAsia="宋体" w:cs="Times New Roman"/>
          <w:sz w:val="24"/>
          <w:szCs w:val="24"/>
        </w:rPr>
        <w:t>项目进行奖励、补助支持</w:t>
      </w:r>
      <w:r>
        <w:rPr>
          <w:rFonts w:hint="eastAsia" w:ascii="宋体" w:hAnsi="宋体" w:eastAsia="宋体" w:cs="Times New Roman"/>
          <w:sz w:val="24"/>
          <w:szCs w:val="24"/>
        </w:rPr>
        <w:t>。</w:t>
      </w:r>
    </w:p>
    <w:p>
      <w:pPr>
        <w:adjustRightInd w:val="0"/>
        <w:snapToGrid w:val="0"/>
        <w:spacing w:line="440" w:lineRule="exact"/>
        <w:ind w:firstLine="480" w:firstLineChars="200"/>
        <w:rPr>
          <w:rFonts w:ascii="宋体" w:hAnsi="宋体" w:eastAsia="宋体" w:cs="仿宋_GB2312"/>
          <w:sz w:val="24"/>
          <w:szCs w:val="24"/>
        </w:rPr>
      </w:pPr>
      <w:r>
        <w:rPr>
          <w:rFonts w:hint="eastAsia" w:ascii="宋体" w:hAnsi="宋体" w:eastAsia="宋体"/>
          <w:sz w:val="24"/>
          <w:szCs w:val="24"/>
        </w:rPr>
        <w:t>4.项目资金情况。</w:t>
      </w:r>
      <w:r>
        <w:rPr>
          <w:rFonts w:hint="eastAsia" w:ascii="宋体" w:hAnsi="宋体" w:eastAsia="宋体" w:cs="仿宋_GB2312"/>
          <w:sz w:val="24"/>
          <w:szCs w:val="24"/>
        </w:rPr>
        <w:t>该项目20</w:t>
      </w:r>
      <w:r>
        <w:rPr>
          <w:rFonts w:ascii="宋体" w:hAnsi="宋体" w:eastAsia="宋体" w:cs="仿宋_GB2312"/>
          <w:sz w:val="24"/>
          <w:szCs w:val="24"/>
        </w:rPr>
        <w:t>20</w:t>
      </w:r>
      <w:r>
        <w:rPr>
          <w:rFonts w:hint="eastAsia" w:ascii="宋体" w:hAnsi="宋体" w:eastAsia="宋体" w:cs="仿宋_GB2312"/>
          <w:sz w:val="24"/>
          <w:szCs w:val="24"/>
        </w:rPr>
        <w:t>年初批复预算资金</w:t>
      </w:r>
      <w:r>
        <w:rPr>
          <w:rFonts w:ascii="宋体" w:hAnsi="宋体" w:eastAsia="宋体" w:cs="仿宋_GB2312"/>
          <w:sz w:val="24"/>
          <w:szCs w:val="24"/>
        </w:rPr>
        <w:t>4500</w:t>
      </w:r>
      <w:r>
        <w:rPr>
          <w:rFonts w:hint="eastAsia" w:ascii="宋体" w:hAnsi="宋体" w:eastAsia="宋体" w:cs="仿宋_GB2312"/>
          <w:sz w:val="24"/>
          <w:szCs w:val="24"/>
        </w:rPr>
        <w:t>万元，实际支出</w:t>
      </w:r>
      <w:r>
        <w:rPr>
          <w:rFonts w:ascii="宋体" w:hAnsi="宋体" w:eastAsia="宋体" w:cs="仿宋_GB2312"/>
          <w:sz w:val="24"/>
          <w:szCs w:val="24"/>
        </w:rPr>
        <w:t>4498</w:t>
      </w:r>
      <w:r>
        <w:rPr>
          <w:rFonts w:hint="eastAsia" w:ascii="宋体" w:hAnsi="宋体" w:eastAsia="宋体" w:cs="仿宋_GB2312"/>
          <w:sz w:val="24"/>
          <w:szCs w:val="24"/>
        </w:rPr>
        <w:t>万元，用于</w:t>
      </w:r>
      <w:r>
        <w:rPr>
          <w:rFonts w:hint="eastAsia" w:ascii="宋体" w:hAnsi="宋体" w:eastAsia="宋体" w:cs="Times New Roman"/>
          <w:sz w:val="24"/>
          <w:szCs w:val="24"/>
        </w:rPr>
        <w:t>对完善商业便民体系建设、打造高品质现代生活圈、促进科技赋能模式创新、聚焦行业发展要素四个方面符合标准要求、已完工</w:t>
      </w:r>
      <w:r>
        <w:rPr>
          <w:rFonts w:ascii="宋体" w:hAnsi="宋体" w:eastAsia="宋体" w:cs="Times New Roman"/>
          <w:sz w:val="24"/>
          <w:szCs w:val="24"/>
        </w:rPr>
        <w:t>/现存</w:t>
      </w:r>
      <w:r>
        <w:rPr>
          <w:rFonts w:hint="eastAsia" w:ascii="宋体" w:hAnsi="宋体" w:eastAsia="宋体" w:cs="Times New Roman"/>
          <w:sz w:val="24"/>
          <w:szCs w:val="24"/>
        </w:rPr>
        <w:t>的</w:t>
      </w:r>
      <w:r>
        <w:rPr>
          <w:rFonts w:ascii="宋体" w:hAnsi="宋体" w:eastAsia="宋体" w:cs="Times New Roman"/>
          <w:sz w:val="24"/>
          <w:szCs w:val="24"/>
        </w:rPr>
        <w:t>项目进行奖励、补助支持</w:t>
      </w:r>
      <w:r>
        <w:rPr>
          <w:rFonts w:hint="eastAsia" w:ascii="宋体" w:hAnsi="宋体" w:eastAsia="宋体" w:cs="仿宋_GB2312"/>
          <w:sz w:val="24"/>
          <w:szCs w:val="24"/>
        </w:rPr>
        <w:t>；其中每类项目</w:t>
      </w:r>
      <w:r>
        <w:rPr>
          <w:rFonts w:ascii="宋体" w:hAnsi="宋体" w:eastAsia="宋体" w:cs="Times New Roman"/>
          <w:sz w:val="24"/>
          <w:szCs w:val="24"/>
        </w:rPr>
        <w:t>奖励、补助支持</w:t>
      </w:r>
      <w:r>
        <w:rPr>
          <w:rFonts w:hint="eastAsia" w:ascii="宋体" w:hAnsi="宋体" w:eastAsia="宋体" w:cs="Times New Roman"/>
          <w:sz w:val="24"/>
          <w:szCs w:val="24"/>
        </w:rPr>
        <w:t>资金均按照《海淀区进一步促进消费能级提升发展支持办法》实施细则进行奖励、补贴</w:t>
      </w:r>
      <w:r>
        <w:rPr>
          <w:rFonts w:hint="eastAsia" w:ascii="宋体" w:hAnsi="宋体" w:eastAsia="宋体" w:cs="仿宋_GB2312"/>
          <w:sz w:val="24"/>
          <w:szCs w:val="24"/>
        </w:rPr>
        <w:t>。</w:t>
      </w:r>
    </w:p>
    <w:p>
      <w:pPr>
        <w:numPr>
          <w:ilvl w:val="0"/>
          <w:numId w:val="1"/>
        </w:numPr>
        <w:snapToGrid w:val="0"/>
        <w:spacing w:line="440" w:lineRule="exact"/>
        <w:ind w:firstLine="481" w:firstLineChars="200"/>
        <w:outlineLvl w:val="1"/>
        <w:rPr>
          <w:rFonts w:ascii="宋体" w:hAnsi="宋体" w:eastAsia="宋体" w:cs="Times New Roman"/>
          <w:b/>
          <w:bCs/>
          <w:sz w:val="24"/>
          <w:szCs w:val="24"/>
        </w:rPr>
      </w:pPr>
      <w:r>
        <w:rPr>
          <w:rFonts w:hint="eastAsia" w:ascii="宋体" w:hAnsi="宋体" w:eastAsia="宋体" w:cs="Times New Roman"/>
          <w:b/>
          <w:bCs/>
          <w:sz w:val="24"/>
          <w:szCs w:val="24"/>
        </w:rPr>
        <w:t>项目年度预算绩效目标情况</w:t>
      </w:r>
    </w:p>
    <w:p>
      <w:pPr>
        <w:adjustRightInd w:val="0"/>
        <w:snapToGrid w:val="0"/>
        <w:spacing w:line="440" w:lineRule="exact"/>
        <w:ind w:firstLine="480" w:firstLineChars="200"/>
        <w:rPr>
          <w:rFonts w:ascii="宋体" w:hAnsi="宋体" w:eastAsia="宋体"/>
          <w:bCs/>
          <w:sz w:val="24"/>
          <w:szCs w:val="24"/>
        </w:rPr>
      </w:pPr>
      <w:r>
        <w:rPr>
          <w:rFonts w:hint="eastAsia" w:ascii="宋体" w:hAnsi="宋体" w:eastAsia="宋体"/>
          <w:bCs/>
          <w:sz w:val="24"/>
          <w:szCs w:val="24"/>
        </w:rPr>
        <w:t>通过实施海淀区进一步促进消费能级提升专项项目，实现对29个街镇社区商业e中心全覆盖；成功打造六里屯社区特色商街、北京五棵松文化体育中心有限公司华熙LIVE•五棵松特色商业街区Hi-up升级改造项目等特色商圈、街区的打造、改造；扶持互联网、大数据、电子商务平台与实体商业结合；以及对行业发展要素的提升，有效实现海淀区</w:t>
      </w:r>
      <w:r>
        <w:rPr>
          <w:rFonts w:ascii="宋体" w:hAnsi="宋体" w:eastAsia="宋体"/>
          <w:bCs/>
          <w:sz w:val="24"/>
          <w:szCs w:val="24"/>
        </w:rPr>
        <w:t>72%的社区八项基本便民商业服务功能全覆盖</w:t>
      </w:r>
      <w:r>
        <w:rPr>
          <w:rFonts w:hint="eastAsia" w:ascii="宋体" w:hAnsi="宋体" w:eastAsia="宋体"/>
          <w:bCs/>
          <w:sz w:val="24"/>
          <w:szCs w:val="24"/>
        </w:rPr>
        <w:t>，改善了海淀区经济商业结构和推动了服务业供给侧改革。预期达到的目标主要是：通过对便民商业、现代品质生活圈、科技赋能模式创新、行业发展等方向的资金补助，增强区域商品和服务供给，提升消费需求，不断优化调整商业结构，提升商业消费环境，合理布局商业空间，全面促进消费层次的提升。</w:t>
      </w:r>
    </w:p>
    <w:p>
      <w:pPr>
        <w:snapToGrid w:val="0"/>
        <w:spacing w:line="440" w:lineRule="exact"/>
        <w:ind w:firstLine="481" w:firstLineChars="200"/>
        <w:outlineLvl w:val="0"/>
        <w:rPr>
          <w:rFonts w:ascii="宋体" w:hAnsi="宋体" w:eastAsia="宋体" w:cs="Times New Roman"/>
          <w:b/>
          <w:bCs/>
          <w:sz w:val="24"/>
          <w:szCs w:val="24"/>
        </w:rPr>
      </w:pPr>
      <w:r>
        <w:rPr>
          <w:rFonts w:hint="eastAsia" w:ascii="宋体" w:hAnsi="宋体" w:eastAsia="宋体" w:cs="Times New Roman"/>
          <w:b/>
          <w:bCs/>
          <w:sz w:val="24"/>
          <w:szCs w:val="24"/>
        </w:rPr>
        <w:t>二、项目决策及资金使用管理情况</w:t>
      </w:r>
    </w:p>
    <w:p>
      <w:pPr>
        <w:snapToGrid w:val="0"/>
        <w:spacing w:line="440" w:lineRule="exact"/>
        <w:ind w:firstLine="481" w:firstLineChars="200"/>
        <w:outlineLvl w:val="1"/>
        <w:rPr>
          <w:rFonts w:ascii="宋体" w:hAnsi="宋体" w:eastAsia="宋体" w:cs="Times New Roman"/>
          <w:b/>
          <w:bCs/>
          <w:sz w:val="24"/>
          <w:szCs w:val="24"/>
        </w:rPr>
      </w:pPr>
      <w:r>
        <w:rPr>
          <w:rFonts w:hint="eastAsia" w:ascii="宋体" w:hAnsi="宋体" w:eastAsia="宋体" w:cs="Times New Roman"/>
          <w:b/>
          <w:bCs/>
          <w:sz w:val="24"/>
          <w:szCs w:val="24"/>
        </w:rPr>
        <w:t>（一）项目决策情况</w:t>
      </w:r>
    </w:p>
    <w:p>
      <w:pPr>
        <w:snapToGrid w:val="0"/>
        <w:spacing w:line="440" w:lineRule="exact"/>
        <w:ind w:firstLine="480" w:firstLineChars="200"/>
        <w:rPr>
          <w:rFonts w:ascii="宋体" w:hAnsi="宋体" w:eastAsia="宋体"/>
          <w:bCs/>
          <w:sz w:val="24"/>
          <w:szCs w:val="24"/>
        </w:rPr>
      </w:pPr>
      <w:r>
        <w:rPr>
          <w:rFonts w:hint="eastAsia" w:ascii="宋体" w:hAnsi="宋体" w:eastAsia="宋体"/>
          <w:bCs/>
          <w:sz w:val="24"/>
          <w:szCs w:val="24"/>
        </w:rPr>
        <w:t>在《海淀区提升消费能级提高生活品质三年行动计划（</w:t>
      </w:r>
      <w:r>
        <w:rPr>
          <w:rFonts w:ascii="宋体" w:hAnsi="宋体" w:eastAsia="宋体"/>
          <w:bCs/>
          <w:sz w:val="24"/>
          <w:szCs w:val="24"/>
        </w:rPr>
        <w:t>2019—2021年）》（海政发〔2019〕5号）</w:t>
      </w:r>
      <w:r>
        <w:rPr>
          <w:rFonts w:hint="eastAsia" w:ascii="宋体" w:hAnsi="宋体" w:eastAsia="宋体"/>
          <w:bCs/>
          <w:sz w:val="24"/>
          <w:szCs w:val="24"/>
        </w:rPr>
        <w:t>、《海淀区生活性服务业规划》的框架下</w:t>
      </w:r>
      <w:r>
        <w:rPr>
          <w:rFonts w:ascii="宋体" w:hAnsi="宋体" w:eastAsia="宋体"/>
          <w:bCs/>
          <w:sz w:val="24"/>
          <w:szCs w:val="24"/>
        </w:rPr>
        <w:t>，</w:t>
      </w:r>
      <w:r>
        <w:rPr>
          <w:rFonts w:hint="eastAsia" w:ascii="宋体" w:hAnsi="宋体" w:eastAsia="宋体"/>
          <w:bCs/>
          <w:sz w:val="24"/>
          <w:szCs w:val="24"/>
        </w:rPr>
        <w:t>区商务局设立海淀区进一步促进消费能级提升专项项目，并制定《海淀区进一步促进消费能级提升发展支持办法》；同时，按照《海淀区进一步促进消费能级提升发展支持办法》，区商务局对不同类型项目进行奖励、补助。</w:t>
      </w:r>
    </w:p>
    <w:p>
      <w:pPr>
        <w:snapToGrid w:val="0"/>
        <w:spacing w:line="440" w:lineRule="exact"/>
        <w:ind w:firstLine="481" w:firstLineChars="200"/>
        <w:outlineLvl w:val="1"/>
        <w:rPr>
          <w:rFonts w:ascii="宋体" w:hAnsi="宋体" w:eastAsia="宋体" w:cs="Times New Roman"/>
          <w:b/>
          <w:bCs/>
          <w:sz w:val="24"/>
          <w:szCs w:val="24"/>
        </w:rPr>
      </w:pPr>
      <w:r>
        <w:rPr>
          <w:rFonts w:hint="eastAsia" w:ascii="宋体" w:hAnsi="宋体" w:eastAsia="宋体" w:cs="Times New Roman"/>
          <w:b/>
          <w:bCs/>
          <w:sz w:val="24"/>
          <w:szCs w:val="24"/>
        </w:rPr>
        <w:t>（二）项目资金管理情况</w:t>
      </w:r>
    </w:p>
    <w:p>
      <w:pPr>
        <w:snapToGrid w:val="0"/>
        <w:spacing w:line="440" w:lineRule="exact"/>
        <w:ind w:firstLine="480" w:firstLineChars="200"/>
        <w:rPr>
          <w:rFonts w:ascii="宋体" w:hAnsi="宋体" w:eastAsia="宋体"/>
          <w:bCs/>
          <w:sz w:val="24"/>
          <w:szCs w:val="24"/>
        </w:rPr>
      </w:pPr>
      <w:r>
        <w:rPr>
          <w:rFonts w:hint="eastAsia" w:ascii="宋体" w:hAnsi="宋体" w:eastAsia="宋体"/>
          <w:bCs/>
          <w:sz w:val="24"/>
          <w:szCs w:val="24"/>
        </w:rPr>
        <w:t>该项目20</w:t>
      </w:r>
      <w:r>
        <w:rPr>
          <w:rFonts w:ascii="宋体" w:hAnsi="宋体" w:eastAsia="宋体"/>
          <w:bCs/>
          <w:sz w:val="24"/>
          <w:szCs w:val="24"/>
        </w:rPr>
        <w:t>20</w:t>
      </w:r>
      <w:r>
        <w:rPr>
          <w:rFonts w:hint="eastAsia" w:ascii="宋体" w:hAnsi="宋体" w:eastAsia="宋体"/>
          <w:bCs/>
          <w:sz w:val="24"/>
          <w:szCs w:val="24"/>
        </w:rPr>
        <w:t>年初批复预算资金</w:t>
      </w:r>
      <w:r>
        <w:rPr>
          <w:rFonts w:ascii="宋体" w:hAnsi="宋体" w:eastAsia="宋体"/>
          <w:bCs/>
          <w:sz w:val="24"/>
          <w:szCs w:val="24"/>
        </w:rPr>
        <w:t>4500</w:t>
      </w:r>
      <w:r>
        <w:rPr>
          <w:rFonts w:hint="eastAsia" w:ascii="宋体" w:hAnsi="宋体" w:eastAsia="宋体"/>
          <w:bCs/>
          <w:sz w:val="24"/>
          <w:szCs w:val="24"/>
        </w:rPr>
        <w:t>万元，全部足额到位。截至20</w:t>
      </w:r>
      <w:r>
        <w:rPr>
          <w:rFonts w:ascii="宋体" w:hAnsi="宋体" w:eastAsia="宋体"/>
          <w:bCs/>
          <w:sz w:val="24"/>
          <w:szCs w:val="24"/>
        </w:rPr>
        <w:t>20</w:t>
      </w:r>
      <w:r>
        <w:rPr>
          <w:rFonts w:hint="eastAsia" w:ascii="宋体" w:hAnsi="宋体" w:eastAsia="宋体"/>
          <w:bCs/>
          <w:sz w:val="24"/>
          <w:szCs w:val="24"/>
        </w:rPr>
        <w:t>年12月31日，项目预算支出</w:t>
      </w:r>
      <w:r>
        <w:rPr>
          <w:rFonts w:ascii="宋体" w:hAnsi="宋体" w:eastAsia="宋体"/>
          <w:bCs/>
          <w:sz w:val="24"/>
          <w:szCs w:val="24"/>
        </w:rPr>
        <w:t>4498</w:t>
      </w:r>
      <w:r>
        <w:rPr>
          <w:rFonts w:hint="eastAsia" w:ascii="宋体" w:hAnsi="宋体" w:eastAsia="宋体"/>
          <w:bCs/>
          <w:sz w:val="24"/>
          <w:szCs w:val="24"/>
        </w:rPr>
        <w:t>万元，预算执行率</w:t>
      </w:r>
      <w:r>
        <w:rPr>
          <w:rFonts w:ascii="宋体" w:hAnsi="宋体" w:eastAsia="宋体"/>
          <w:bCs/>
          <w:sz w:val="24"/>
          <w:szCs w:val="24"/>
        </w:rPr>
        <w:t>99.96</w:t>
      </w:r>
      <w:r>
        <w:rPr>
          <w:rFonts w:hint="eastAsia" w:ascii="宋体" w:hAnsi="宋体" w:eastAsia="宋体"/>
          <w:bCs/>
          <w:sz w:val="24"/>
          <w:szCs w:val="24"/>
        </w:rPr>
        <w:t>%。2020年申请预算5422万元，实际安排预算4500万元，实际补助2019年立项项目1734万元（占2019年申请预算29.84%）、2020年立项项目2764万元（占2020年申请预算50.98%）。</w:t>
      </w:r>
    </w:p>
    <w:p>
      <w:pPr>
        <w:snapToGrid w:val="0"/>
        <w:spacing w:line="440" w:lineRule="exact"/>
        <w:ind w:firstLine="480" w:firstLineChars="200"/>
        <w:rPr>
          <w:rFonts w:ascii="宋体" w:hAnsi="宋体" w:eastAsia="宋体"/>
          <w:bCs/>
          <w:sz w:val="24"/>
          <w:szCs w:val="24"/>
        </w:rPr>
      </w:pPr>
      <w:r>
        <w:rPr>
          <w:rFonts w:hint="eastAsia" w:ascii="宋体" w:hAnsi="宋体" w:eastAsia="宋体"/>
          <w:bCs/>
          <w:sz w:val="24"/>
          <w:szCs w:val="24"/>
        </w:rPr>
        <w:t>在项目资金的使用方面，区商务局制定《海淀区进一步促进消费能级提升发展支持办法》、《海淀区进一步促进消费能级提升发展专项资金工作廉政风险防范工作方案》，并分年度编制《</w:t>
      </w:r>
      <w:r>
        <w:rPr>
          <w:rFonts w:ascii="宋体" w:hAnsi="宋体" w:eastAsia="宋体"/>
          <w:bCs/>
          <w:sz w:val="24"/>
          <w:szCs w:val="24"/>
        </w:rPr>
        <w:t>海淀区进一步促进消费能级提升发展</w:t>
      </w:r>
      <w:r>
        <w:rPr>
          <w:rFonts w:hint="eastAsia" w:ascii="宋体" w:hAnsi="宋体" w:eastAsia="宋体"/>
          <w:bCs/>
          <w:sz w:val="24"/>
          <w:szCs w:val="24"/>
        </w:rPr>
        <w:t>专项资金申报指南》指导项目申报工作。</w:t>
      </w:r>
    </w:p>
    <w:p>
      <w:pPr>
        <w:snapToGrid w:val="0"/>
        <w:spacing w:line="440" w:lineRule="exact"/>
        <w:ind w:firstLine="481" w:firstLineChars="200"/>
        <w:outlineLvl w:val="0"/>
        <w:rPr>
          <w:rFonts w:ascii="宋体" w:hAnsi="宋体" w:eastAsia="宋体"/>
          <w:bCs/>
          <w:sz w:val="24"/>
          <w:szCs w:val="24"/>
        </w:rPr>
      </w:pPr>
      <w:r>
        <w:rPr>
          <w:rFonts w:hint="eastAsia" w:ascii="宋体" w:hAnsi="宋体" w:eastAsia="宋体" w:cs="Times New Roman"/>
          <w:b/>
          <w:bCs/>
          <w:sz w:val="24"/>
          <w:szCs w:val="24"/>
        </w:rPr>
        <w:t>三、项目执行情况</w:t>
      </w:r>
    </w:p>
    <w:p>
      <w:pPr>
        <w:adjustRightInd w:val="0"/>
        <w:snapToGrid w:val="0"/>
        <w:spacing w:line="440" w:lineRule="exact"/>
        <w:ind w:firstLine="480" w:firstLineChars="200"/>
        <w:rPr>
          <w:rFonts w:ascii="宋体" w:hAnsi="宋体" w:eastAsia="宋体"/>
          <w:bCs/>
          <w:sz w:val="24"/>
          <w:szCs w:val="24"/>
        </w:rPr>
      </w:pPr>
      <w:r>
        <w:rPr>
          <w:rFonts w:hint="eastAsia" w:ascii="宋体" w:hAnsi="宋体" w:eastAsia="宋体"/>
          <w:bCs/>
          <w:sz w:val="24"/>
          <w:szCs w:val="24"/>
        </w:rPr>
        <w:t>区商务局参照《海淀区加快核心区自主创新和产业发展专项资金管理办法》（海行规发〔2012〕11号）、《海淀区进一步促进消费能级提升发展支持办法》进行项目管理。作为一个延续性项目，区商务局基本形成了较为清晰的实施程序，包括工作部署、征集走访、验收评审、资金拨付等环节。项目开展前期，由区商务局</w:t>
      </w:r>
      <w:r>
        <w:rPr>
          <w:rFonts w:ascii="宋体" w:hAnsi="宋体" w:eastAsia="宋体"/>
          <w:bCs/>
          <w:sz w:val="24"/>
          <w:szCs w:val="24"/>
        </w:rPr>
        <w:t>向社会发布申报指南，明确具体支持方向、支持重点以及申报程序、受理部门、受理时间、审批流程等</w:t>
      </w:r>
      <w:r>
        <w:rPr>
          <w:rFonts w:hint="eastAsia" w:ascii="宋体" w:hAnsi="宋体" w:eastAsia="宋体"/>
          <w:bCs/>
          <w:sz w:val="24"/>
          <w:szCs w:val="24"/>
        </w:rPr>
        <w:t>内容，征集专项资金支持项目，并与</w:t>
      </w:r>
      <w:r>
        <w:rPr>
          <w:rFonts w:ascii="宋体" w:hAnsi="宋体" w:eastAsia="宋体"/>
          <w:bCs/>
          <w:sz w:val="24"/>
          <w:szCs w:val="24"/>
        </w:rPr>
        <w:t>第三方评估机构共同负责组织对申报项目进行评审</w:t>
      </w:r>
      <w:r>
        <w:rPr>
          <w:rFonts w:hint="eastAsia" w:ascii="宋体" w:hAnsi="宋体" w:eastAsia="宋体"/>
          <w:bCs/>
          <w:sz w:val="24"/>
          <w:szCs w:val="24"/>
        </w:rPr>
        <w:t>；项目实施过程中，由区商务局建立项目跟踪评价体系，及时了解项目执行情况和资金使用情况。项目到期后，区商务局组织项目验收工作。</w:t>
      </w:r>
    </w:p>
    <w:p>
      <w:pPr>
        <w:snapToGrid w:val="0"/>
        <w:spacing w:line="440" w:lineRule="exact"/>
        <w:ind w:firstLine="481" w:firstLineChars="200"/>
        <w:outlineLvl w:val="0"/>
        <w:rPr>
          <w:rFonts w:ascii="宋体" w:hAnsi="宋体" w:eastAsia="宋体" w:cs="Times New Roman"/>
          <w:b/>
          <w:bCs/>
          <w:sz w:val="24"/>
          <w:szCs w:val="24"/>
        </w:rPr>
      </w:pPr>
      <w:r>
        <w:rPr>
          <w:rFonts w:hint="eastAsia" w:ascii="宋体" w:hAnsi="宋体" w:eastAsia="宋体" w:cs="Times New Roman"/>
          <w:b/>
          <w:bCs/>
          <w:sz w:val="24"/>
          <w:szCs w:val="24"/>
        </w:rPr>
        <w:t>四、项目绩效情况</w:t>
      </w:r>
    </w:p>
    <w:p>
      <w:pPr>
        <w:snapToGrid w:val="0"/>
        <w:spacing w:line="440" w:lineRule="exact"/>
        <w:ind w:firstLine="480" w:firstLineChars="200"/>
        <w:rPr>
          <w:rFonts w:ascii="宋体" w:hAnsi="宋体" w:eastAsia="宋体"/>
          <w:sz w:val="24"/>
          <w:szCs w:val="24"/>
        </w:rPr>
      </w:pPr>
      <w:r>
        <w:rPr>
          <w:rFonts w:hint="eastAsia" w:ascii="宋体" w:hAnsi="宋体" w:eastAsia="宋体"/>
          <w:sz w:val="24"/>
          <w:szCs w:val="24"/>
        </w:rPr>
        <w:t>项目于20</w:t>
      </w:r>
      <w:r>
        <w:rPr>
          <w:rFonts w:ascii="宋体" w:hAnsi="宋体" w:eastAsia="宋体"/>
          <w:sz w:val="24"/>
          <w:szCs w:val="24"/>
        </w:rPr>
        <w:t>20</w:t>
      </w:r>
      <w:r>
        <w:rPr>
          <w:rFonts w:hint="eastAsia" w:ascii="宋体" w:hAnsi="宋体" w:eastAsia="宋体"/>
          <w:sz w:val="24"/>
          <w:szCs w:val="24"/>
        </w:rPr>
        <w:t>年底</w:t>
      </w:r>
      <w:r>
        <w:rPr>
          <w:rFonts w:hint="eastAsia" w:ascii="宋体" w:hAnsi="宋体" w:eastAsia="宋体"/>
          <w:bCs/>
          <w:sz w:val="24"/>
          <w:szCs w:val="24"/>
        </w:rPr>
        <w:t>实现对29个街镇社区商业e中心全覆盖</w:t>
      </w:r>
      <w:r>
        <w:rPr>
          <w:rFonts w:hint="eastAsia" w:ascii="宋体" w:hAnsi="宋体" w:eastAsia="宋体"/>
          <w:sz w:val="24"/>
          <w:szCs w:val="24"/>
        </w:rPr>
        <w:t>，</w:t>
      </w:r>
      <w:r>
        <w:rPr>
          <w:rFonts w:hint="eastAsia" w:ascii="宋体" w:hAnsi="宋体" w:eastAsia="宋体"/>
          <w:bCs/>
          <w:sz w:val="24"/>
          <w:szCs w:val="24"/>
        </w:rPr>
        <w:t>成功打造六里屯社区特色商街等项目，且</w:t>
      </w:r>
      <w:r>
        <w:rPr>
          <w:rFonts w:hint="eastAsia" w:ascii="宋体" w:hAnsi="宋体" w:eastAsia="宋体"/>
          <w:sz w:val="24"/>
          <w:szCs w:val="24"/>
        </w:rPr>
        <w:t>补贴项目均符合</w:t>
      </w:r>
      <w:r>
        <w:rPr>
          <w:rFonts w:hint="eastAsia" w:ascii="宋体" w:hAnsi="宋体" w:eastAsia="宋体"/>
          <w:bCs/>
          <w:sz w:val="24"/>
          <w:szCs w:val="24"/>
        </w:rPr>
        <w:t>《海淀区进一步促进消费能级提升发展支持办法》</w:t>
      </w:r>
      <w:r>
        <w:rPr>
          <w:rFonts w:hint="eastAsia" w:ascii="宋体" w:hAnsi="宋体" w:eastAsia="宋体"/>
          <w:sz w:val="24"/>
          <w:szCs w:val="24"/>
        </w:rPr>
        <w:t>，基本实现</w:t>
      </w:r>
      <w:r>
        <w:rPr>
          <w:rFonts w:hint="eastAsia" w:ascii="宋体" w:hAnsi="宋体" w:eastAsia="宋体"/>
          <w:bCs/>
          <w:sz w:val="24"/>
          <w:szCs w:val="24"/>
        </w:rPr>
        <w:t>通过对便民商业、现代品质生活圈、科技赋能模式创新、行业发展等方向的资金补助，增强区域商品和服务供给，提升消费需求，不断优化调整商业结构，提升商业消费环境，合理布局商业空间，全面促进消费层次的提升的</w:t>
      </w:r>
      <w:r>
        <w:rPr>
          <w:rFonts w:hint="eastAsia" w:ascii="宋体" w:hAnsi="宋体" w:eastAsia="宋体"/>
          <w:sz w:val="24"/>
          <w:szCs w:val="24"/>
        </w:rPr>
        <w:t>绩效目标。根据评价工作组对部分社区e中心及菜篮子网点周边群众的满意度调查，网点周边居民对</w:t>
      </w:r>
      <w:r>
        <w:rPr>
          <w:rFonts w:hint="eastAsia" w:ascii="宋体" w:hAnsi="宋体" w:eastAsia="宋体"/>
          <w:bCs/>
          <w:sz w:val="24"/>
          <w:szCs w:val="24"/>
        </w:rPr>
        <w:t>进一步促进消费能级专项实施</w:t>
      </w:r>
      <w:r>
        <w:rPr>
          <w:rFonts w:hint="eastAsia" w:ascii="宋体" w:hAnsi="宋体" w:eastAsia="宋体"/>
          <w:sz w:val="24"/>
          <w:szCs w:val="24"/>
        </w:rPr>
        <w:t>的</w:t>
      </w:r>
      <w:r>
        <w:rPr>
          <w:rFonts w:ascii="宋体" w:hAnsi="宋体" w:eastAsia="宋体"/>
          <w:sz w:val="24"/>
          <w:szCs w:val="24"/>
        </w:rPr>
        <w:t>综合满意度为93.3%</w:t>
      </w:r>
      <w:r>
        <w:rPr>
          <w:rFonts w:hint="eastAsia" w:ascii="宋体" w:hAnsi="宋体" w:eastAsia="宋体"/>
          <w:sz w:val="24"/>
          <w:szCs w:val="24"/>
        </w:rPr>
        <w:t>，在一定程度上对逐步实现“1</w:t>
      </w:r>
      <w:r>
        <w:rPr>
          <w:rFonts w:ascii="宋体" w:hAnsi="宋体" w:eastAsia="宋体"/>
          <w:sz w:val="24"/>
          <w:szCs w:val="24"/>
        </w:rPr>
        <w:t>5</w:t>
      </w:r>
      <w:r>
        <w:rPr>
          <w:rFonts w:hint="eastAsia" w:ascii="宋体" w:hAnsi="宋体" w:eastAsia="宋体"/>
          <w:sz w:val="24"/>
          <w:szCs w:val="24"/>
        </w:rPr>
        <w:t>分钟便民生活圈”起到积极促进作用。</w:t>
      </w:r>
    </w:p>
    <w:p>
      <w:pPr>
        <w:snapToGrid w:val="0"/>
        <w:spacing w:line="440" w:lineRule="exact"/>
        <w:ind w:firstLine="481" w:firstLineChars="200"/>
        <w:outlineLvl w:val="0"/>
        <w:rPr>
          <w:rFonts w:ascii="宋体" w:hAnsi="宋体" w:eastAsia="宋体" w:cs="Times New Roman"/>
          <w:b/>
          <w:bCs/>
          <w:sz w:val="24"/>
          <w:szCs w:val="24"/>
        </w:rPr>
      </w:pPr>
      <w:r>
        <w:rPr>
          <w:rFonts w:hint="eastAsia" w:ascii="宋体" w:hAnsi="宋体" w:eastAsia="宋体" w:cs="Times New Roman"/>
          <w:b/>
          <w:bCs/>
          <w:sz w:val="24"/>
          <w:szCs w:val="24"/>
        </w:rPr>
        <w:t>五、评价结论</w:t>
      </w:r>
    </w:p>
    <w:p>
      <w:pPr>
        <w:snapToGrid w:val="0"/>
        <w:spacing w:line="440" w:lineRule="exact"/>
        <w:ind w:firstLine="480" w:firstLineChars="200"/>
        <w:outlineLvl w:val="0"/>
        <w:rPr>
          <w:rFonts w:ascii="宋体" w:hAnsi="宋体" w:eastAsia="宋体" w:cs="Times New Roman"/>
          <w:b/>
          <w:bCs/>
          <w:sz w:val="24"/>
          <w:szCs w:val="24"/>
        </w:rPr>
      </w:pPr>
      <w:bookmarkStart w:id="1" w:name="_Toc17880"/>
      <w:r>
        <w:rPr>
          <w:rFonts w:hint="eastAsia" w:ascii="宋体" w:hAnsi="宋体" w:eastAsia="宋体"/>
          <w:sz w:val="24"/>
          <w:szCs w:val="24"/>
        </w:rPr>
        <w:t>经专家评议，该项目绩效级别评定为“良好”。</w:t>
      </w:r>
      <w:bookmarkEnd w:id="1"/>
    </w:p>
    <w:p>
      <w:pPr>
        <w:snapToGrid w:val="0"/>
        <w:spacing w:line="440" w:lineRule="exact"/>
        <w:ind w:firstLine="481" w:firstLineChars="200"/>
        <w:outlineLvl w:val="0"/>
        <w:rPr>
          <w:rFonts w:ascii="宋体" w:hAnsi="宋体" w:eastAsia="宋体" w:cs="Times New Roman"/>
          <w:b/>
          <w:bCs/>
          <w:sz w:val="24"/>
          <w:szCs w:val="24"/>
        </w:rPr>
      </w:pPr>
      <w:r>
        <w:rPr>
          <w:rFonts w:hint="eastAsia" w:ascii="宋体" w:hAnsi="宋体" w:eastAsia="宋体" w:cs="Times New Roman"/>
          <w:b/>
          <w:bCs/>
          <w:sz w:val="24"/>
          <w:szCs w:val="24"/>
        </w:rPr>
        <w:t>六、问题和建议</w:t>
      </w:r>
    </w:p>
    <w:p>
      <w:pPr>
        <w:snapToGrid w:val="0"/>
        <w:spacing w:line="440" w:lineRule="exact"/>
        <w:ind w:firstLine="481" w:firstLineChars="200"/>
        <w:outlineLvl w:val="1"/>
        <w:rPr>
          <w:rFonts w:ascii="宋体" w:hAnsi="宋体" w:eastAsia="宋体"/>
          <w:sz w:val="24"/>
          <w:szCs w:val="24"/>
        </w:rPr>
      </w:pPr>
      <w:bookmarkStart w:id="2" w:name="_Toc13354"/>
      <w:r>
        <w:rPr>
          <w:rFonts w:hint="eastAsia" w:ascii="宋体" w:hAnsi="宋体" w:eastAsia="宋体"/>
          <w:b/>
          <w:bCs/>
          <w:sz w:val="24"/>
          <w:szCs w:val="24"/>
        </w:rPr>
        <w:t>（一）存在的问题</w:t>
      </w:r>
      <w:bookmarkEnd w:id="2"/>
    </w:p>
    <w:p>
      <w:pPr>
        <w:snapToGrid w:val="0"/>
        <w:spacing w:line="440" w:lineRule="exact"/>
        <w:ind w:firstLine="480" w:firstLineChars="200"/>
        <w:rPr>
          <w:rFonts w:ascii="宋体" w:hAnsi="宋体" w:eastAsia="宋体"/>
          <w:bCs/>
          <w:sz w:val="24"/>
          <w:szCs w:val="24"/>
        </w:rPr>
      </w:pPr>
      <w:bookmarkStart w:id="3" w:name="_Toc16694"/>
      <w:r>
        <w:rPr>
          <w:rFonts w:ascii="宋体" w:hAnsi="宋体" w:eastAsia="宋体"/>
          <w:bCs/>
          <w:sz w:val="24"/>
          <w:szCs w:val="24"/>
        </w:rPr>
        <w:t>1</w:t>
      </w:r>
      <w:r>
        <w:rPr>
          <w:rFonts w:hint="eastAsia" w:ascii="宋体" w:hAnsi="宋体" w:eastAsia="宋体"/>
          <w:bCs/>
          <w:sz w:val="24"/>
          <w:szCs w:val="24"/>
        </w:rPr>
        <w:t>.项目实施内容的科学性、全面性、前瞻性有待进一步加强。</w:t>
      </w:r>
      <w:r>
        <w:rPr>
          <w:rFonts w:hint="eastAsia" w:ascii="宋体" w:hAnsi="宋体" w:eastAsia="宋体"/>
          <w:sz w:val="24"/>
          <w:szCs w:val="24"/>
        </w:rPr>
        <w:t>项目需求分析不够充分，对“行业发展要素”的理解不够全面，项目目前惠及对象主要是大中型连锁企业，对新零售、新商业和中小微企业的政策覆盖面较小，引领和带动作用有待提升。</w:t>
      </w:r>
    </w:p>
    <w:p>
      <w:pPr>
        <w:snapToGrid w:val="0"/>
        <w:spacing w:line="440" w:lineRule="exact"/>
        <w:ind w:firstLine="480" w:firstLineChars="200"/>
        <w:rPr>
          <w:rFonts w:ascii="宋体" w:hAnsi="宋体" w:eastAsia="宋体"/>
          <w:b/>
          <w:sz w:val="24"/>
          <w:szCs w:val="24"/>
        </w:rPr>
      </w:pPr>
      <w:r>
        <w:rPr>
          <w:rFonts w:ascii="宋体" w:hAnsi="宋体" w:eastAsia="宋体"/>
          <w:bCs/>
          <w:sz w:val="24"/>
          <w:szCs w:val="24"/>
        </w:rPr>
        <w:t>2</w:t>
      </w:r>
      <w:r>
        <w:rPr>
          <w:rFonts w:hint="eastAsia" w:ascii="宋体" w:hAnsi="宋体" w:eastAsia="宋体"/>
          <w:bCs/>
          <w:sz w:val="24"/>
          <w:szCs w:val="24"/>
        </w:rPr>
        <w:t>.项目绩效目标合理性不足，绩效评价指标管理有待进一步加强，预算申报管理不精准，预算编制延续往年传统基数进行调整编制，科学、合理性不足，规范性有待进一步加强。</w:t>
      </w:r>
    </w:p>
    <w:p>
      <w:pPr>
        <w:snapToGrid w:val="0"/>
        <w:spacing w:line="440" w:lineRule="exact"/>
        <w:ind w:firstLine="480" w:firstLineChars="200"/>
        <w:rPr>
          <w:rFonts w:ascii="宋体" w:hAnsi="宋体" w:eastAsia="宋体"/>
          <w:sz w:val="24"/>
          <w:szCs w:val="24"/>
        </w:rPr>
      </w:pPr>
      <w:r>
        <w:rPr>
          <w:rFonts w:hint="eastAsia" w:ascii="宋体" w:hAnsi="宋体" w:eastAsia="宋体"/>
          <w:bCs/>
          <w:sz w:val="24"/>
          <w:szCs w:val="24"/>
        </w:rPr>
        <w:t>3</w:t>
      </w:r>
      <w:r>
        <w:rPr>
          <w:rFonts w:ascii="宋体" w:hAnsi="宋体" w:eastAsia="宋体"/>
          <w:bCs/>
          <w:sz w:val="24"/>
          <w:szCs w:val="24"/>
        </w:rPr>
        <w:t>.</w:t>
      </w:r>
      <w:r>
        <w:rPr>
          <w:rFonts w:hint="eastAsia" w:ascii="宋体" w:hAnsi="宋体" w:eastAsia="宋体"/>
          <w:bCs/>
          <w:sz w:val="24"/>
          <w:szCs w:val="24"/>
        </w:rPr>
        <w:t>项目过程管理不完善，后续跟踪监管机制有待进一步加强。项目实施方案完整性不足，项目管理制度有待进一步完善，缺少后续跟踪监管制度与补助退出机制，存在个别申报主体与支付对象不吻合的情况</w:t>
      </w:r>
      <w:r>
        <w:rPr>
          <w:rFonts w:hint="eastAsia" w:ascii="宋体" w:hAnsi="宋体" w:eastAsia="宋体"/>
          <w:sz w:val="24"/>
          <w:szCs w:val="24"/>
        </w:rPr>
        <w:t>。</w:t>
      </w:r>
    </w:p>
    <w:bookmarkEnd w:id="3"/>
    <w:p>
      <w:pPr>
        <w:snapToGrid w:val="0"/>
        <w:spacing w:line="440" w:lineRule="exact"/>
        <w:ind w:firstLine="481" w:firstLineChars="200"/>
        <w:outlineLvl w:val="1"/>
        <w:rPr>
          <w:rFonts w:ascii="宋体" w:hAnsi="宋体" w:eastAsia="宋体"/>
          <w:b/>
          <w:bCs/>
          <w:sz w:val="24"/>
          <w:szCs w:val="24"/>
        </w:rPr>
      </w:pPr>
      <w:bookmarkStart w:id="4" w:name="_Toc5390"/>
      <w:bookmarkStart w:id="5" w:name="_Toc365968765"/>
      <w:r>
        <w:rPr>
          <w:rFonts w:hint="eastAsia" w:ascii="宋体" w:hAnsi="宋体" w:eastAsia="宋体"/>
          <w:b/>
          <w:bCs/>
          <w:sz w:val="24"/>
          <w:szCs w:val="24"/>
        </w:rPr>
        <w:t>（二）建议</w:t>
      </w:r>
      <w:bookmarkEnd w:id="4"/>
      <w:bookmarkEnd w:id="5"/>
    </w:p>
    <w:p>
      <w:pPr>
        <w:adjustRightInd w:val="0"/>
        <w:snapToGrid w:val="0"/>
        <w:spacing w:line="440" w:lineRule="exact"/>
        <w:ind w:firstLine="480" w:firstLineChars="200"/>
        <w:rPr>
          <w:rFonts w:ascii="宋体" w:hAnsi="宋体" w:eastAsia="宋体"/>
          <w:bCs/>
          <w:sz w:val="24"/>
          <w:szCs w:val="24"/>
        </w:rPr>
      </w:pPr>
      <w:r>
        <w:rPr>
          <w:rFonts w:hint="eastAsia" w:ascii="宋体" w:hAnsi="宋体" w:eastAsia="宋体"/>
          <w:bCs/>
          <w:sz w:val="24"/>
          <w:szCs w:val="24"/>
        </w:rPr>
        <w:t>1</w:t>
      </w:r>
      <w:r>
        <w:rPr>
          <w:rFonts w:ascii="宋体" w:hAnsi="宋体" w:eastAsia="宋体"/>
          <w:bCs/>
          <w:sz w:val="24"/>
          <w:szCs w:val="24"/>
        </w:rPr>
        <w:t>.</w:t>
      </w:r>
      <w:r>
        <w:rPr>
          <w:rFonts w:hint="eastAsia" w:ascii="宋体" w:hAnsi="宋体" w:eastAsia="宋体"/>
          <w:bCs/>
          <w:sz w:val="24"/>
          <w:szCs w:val="24"/>
        </w:rPr>
        <w:t>建议项目单位加强需求调研和战略统筹。加强对区域消费需求结构的调研，面向“十四五”和“二〇三五”区域人口流动、空间布局、消费需求演变趋势，进行具有前瞻性的战略研究和规划调整；进一步明确财政资金投入重点，提高资金投入与需求的匹配性；加强对新零售、新商业的培育、孵化机制，推动海淀区商业经济加快发展、创新发展、高质量发展，培育商业消费新业态、新动能。</w:t>
      </w:r>
    </w:p>
    <w:p>
      <w:pPr>
        <w:adjustRightInd w:val="0"/>
        <w:snapToGrid w:val="0"/>
        <w:spacing w:line="440" w:lineRule="exact"/>
        <w:ind w:firstLine="480" w:firstLineChars="200"/>
        <w:rPr>
          <w:rFonts w:ascii="宋体" w:hAnsi="宋体" w:eastAsia="宋体"/>
          <w:bCs/>
          <w:sz w:val="24"/>
          <w:szCs w:val="24"/>
        </w:rPr>
      </w:pPr>
      <w:r>
        <w:rPr>
          <w:rFonts w:hint="eastAsia" w:ascii="宋体" w:hAnsi="宋体" w:eastAsia="宋体"/>
          <w:bCs/>
          <w:sz w:val="24"/>
          <w:szCs w:val="24"/>
        </w:rPr>
        <w:t>2</w:t>
      </w:r>
      <w:r>
        <w:rPr>
          <w:rFonts w:ascii="宋体" w:hAnsi="宋体" w:eastAsia="宋体"/>
          <w:bCs/>
          <w:sz w:val="24"/>
          <w:szCs w:val="24"/>
        </w:rPr>
        <w:t>.</w:t>
      </w:r>
      <w:r>
        <w:rPr>
          <w:rFonts w:hint="eastAsia" w:ascii="宋体" w:hAnsi="宋体" w:eastAsia="宋体"/>
          <w:bCs/>
          <w:sz w:val="24"/>
          <w:szCs w:val="24"/>
        </w:rPr>
        <w:t>建议项目单位全面深化实施预算绩效管理。根据“十四五”规划和2035年远景目标纲要研究制定进一步促进消费能级提升的中长期规划和年度阶段性目标，构建进一步促进消费能级提升项目的绩效目标体系；准确把握预算编制要求、科学合理编制项目预算，在全面梳理部门项目后，按照轻重缓急程度对各项目实行分类排序，统筹安排，根据实际执行内容编制预算；探索项目成本绩效分析，测算各业态补助成本并构建成本、绩效的对应关系。</w:t>
      </w:r>
    </w:p>
    <w:p>
      <w:pPr>
        <w:adjustRightInd w:val="0"/>
        <w:snapToGrid w:val="0"/>
        <w:spacing w:line="440" w:lineRule="exact"/>
        <w:ind w:firstLine="480" w:firstLineChars="200"/>
        <w:rPr>
          <w:rFonts w:ascii="宋体" w:hAnsi="宋体" w:eastAsia="宋体"/>
          <w:bCs/>
          <w:sz w:val="24"/>
          <w:szCs w:val="24"/>
        </w:rPr>
      </w:pPr>
      <w:r>
        <w:rPr>
          <w:rFonts w:hint="eastAsia" w:ascii="宋体" w:hAnsi="宋体" w:eastAsia="宋体"/>
          <w:bCs/>
          <w:sz w:val="24"/>
          <w:szCs w:val="24"/>
        </w:rPr>
        <w:t>3</w:t>
      </w:r>
      <w:r>
        <w:rPr>
          <w:rFonts w:ascii="宋体" w:hAnsi="宋体" w:eastAsia="宋体"/>
          <w:bCs/>
          <w:sz w:val="24"/>
          <w:szCs w:val="24"/>
        </w:rPr>
        <w:t>.</w:t>
      </w:r>
      <w:r>
        <w:rPr>
          <w:rFonts w:hint="eastAsia" w:ascii="宋体" w:hAnsi="宋体" w:eastAsia="宋体"/>
          <w:bCs/>
          <w:sz w:val="24"/>
          <w:szCs w:val="24"/>
        </w:rPr>
        <w:t>建议项目单位优化完善制度建设。全面履行项目管理主体职责，及时制定完整、细化的项目实施方案，并依据项目内容和管理需求，加强项目全过程、全流程管理，及时健全项目管理制度和项目资金实施管理办法，有效防范实施过程中可能存在的风险点，提高内控管理机制的有效性。</w:t>
      </w:r>
    </w:p>
    <w:p>
      <w:pPr>
        <w:adjustRightInd w:val="0"/>
        <w:snapToGrid w:val="0"/>
        <w:spacing w:line="440" w:lineRule="exact"/>
        <w:ind w:firstLine="480" w:firstLineChars="200"/>
        <w:rPr>
          <w:rFonts w:ascii="宋体" w:hAnsi="宋体" w:eastAsia="宋体"/>
          <w:bCs/>
          <w:sz w:val="24"/>
          <w:szCs w:val="24"/>
        </w:rPr>
      </w:pPr>
      <w:r>
        <w:rPr>
          <w:rFonts w:hint="eastAsia" w:ascii="宋体" w:hAnsi="宋体" w:eastAsia="宋体"/>
          <w:bCs/>
          <w:sz w:val="24"/>
          <w:szCs w:val="24"/>
        </w:rPr>
        <w:t>4</w:t>
      </w:r>
      <w:r>
        <w:rPr>
          <w:rFonts w:ascii="宋体" w:hAnsi="宋体" w:eastAsia="宋体"/>
          <w:bCs/>
          <w:sz w:val="24"/>
          <w:szCs w:val="24"/>
        </w:rPr>
        <w:t>.</w:t>
      </w:r>
      <w:r>
        <w:rPr>
          <w:rFonts w:hint="eastAsia" w:ascii="宋体" w:hAnsi="宋体" w:eastAsia="宋体"/>
          <w:bCs/>
          <w:sz w:val="24"/>
          <w:szCs w:val="24"/>
        </w:rPr>
        <w:t>建议项目单位重视后续跟踪监管、满意度调查。随时掌握项目进展情况，落实长效管理机制，有效规范财政补助行为，防止申报企业挤占、欺诈专项发展资金，确保财政资金使用的公平性。加强对问卷的统计分析和结果应用，为项目未来补助安排及后续管理提供指导建议，持续推进项目绩效的改进和提升。</w:t>
      </w: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0000000" w:usb3="00000000" w:csb0="0000019F"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8420" cy="1397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58420" cy="139700"/>
                      </a:xfrm>
                      <a:prstGeom prst="rect">
                        <a:avLst/>
                      </a:prstGeom>
                      <a:noFill/>
                      <a:ln w="6350">
                        <a:noFill/>
                      </a:ln>
                    </wps:spPr>
                    <wps:txbx>
                      <w:txbxContent>
                        <w:p>
                          <w:pPr>
                            <w:pStyle w:val="5"/>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1pt;width:4.6pt;mso-position-horizontal:center;mso-position-horizontal-relative:margin;mso-wrap-style:none;z-index:251659264;mso-width-relative:page;mso-height-relative:page;" filled="f" stroked="f" coordsize="21600,21600" o:gfxdata="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WAAAAZHJzL1BLAQIUABQAAAAIAIdO&#10;4kDvbGRr0QAAAAIBAAAPAAAAAAAAAAEAIAAAADgAAABkcnMvZG93bnJldi54bWxQSwECFAAUAAAA&#10;CACHTuJA2OnDwRgCAAAWBAAADgAAAAAAAAABACAAAAA2AQAAZHJzL2Uyb0RvYy54bWxQSwUGAAAA&#10;AAYABgBZAQAAwA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FDEF2F"/>
    <w:multiLevelType w:val="singleLevel"/>
    <w:tmpl w:val="B7FDEF2F"/>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true"/>
  <w:bordersDoNotSurroundFooter w:val="true"/>
  <w:documentProtection w:enforcement="0"/>
  <w:defaultTabStop w:val="420"/>
  <w:drawingGridVerticalSpacing w:val="156"/>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34E4"/>
    <w:rsid w:val="00006DA4"/>
    <w:rsid w:val="00030363"/>
    <w:rsid w:val="00096AF0"/>
    <w:rsid w:val="000C759E"/>
    <w:rsid w:val="000F155F"/>
    <w:rsid w:val="000F3F27"/>
    <w:rsid w:val="000F4EF1"/>
    <w:rsid w:val="0011089F"/>
    <w:rsid w:val="00116F38"/>
    <w:rsid w:val="0012370D"/>
    <w:rsid w:val="00144FB1"/>
    <w:rsid w:val="00152615"/>
    <w:rsid w:val="001552E9"/>
    <w:rsid w:val="00172F5B"/>
    <w:rsid w:val="001748B5"/>
    <w:rsid w:val="00180C2A"/>
    <w:rsid w:val="00185D2A"/>
    <w:rsid w:val="00194619"/>
    <w:rsid w:val="001C6E3B"/>
    <w:rsid w:val="001D7BBB"/>
    <w:rsid w:val="001E42E9"/>
    <w:rsid w:val="00242A67"/>
    <w:rsid w:val="00260D76"/>
    <w:rsid w:val="00261B5B"/>
    <w:rsid w:val="002708B7"/>
    <w:rsid w:val="00283C25"/>
    <w:rsid w:val="002D3369"/>
    <w:rsid w:val="00310162"/>
    <w:rsid w:val="003363E7"/>
    <w:rsid w:val="0034249F"/>
    <w:rsid w:val="00352348"/>
    <w:rsid w:val="00353E6D"/>
    <w:rsid w:val="003923D0"/>
    <w:rsid w:val="003C1130"/>
    <w:rsid w:val="003E521B"/>
    <w:rsid w:val="00434E4E"/>
    <w:rsid w:val="004E16F6"/>
    <w:rsid w:val="004E373A"/>
    <w:rsid w:val="004F6742"/>
    <w:rsid w:val="00526BE7"/>
    <w:rsid w:val="00537F24"/>
    <w:rsid w:val="005B15F3"/>
    <w:rsid w:val="005B3531"/>
    <w:rsid w:val="005B4F88"/>
    <w:rsid w:val="00622914"/>
    <w:rsid w:val="00640CD5"/>
    <w:rsid w:val="00640DE7"/>
    <w:rsid w:val="00642D7C"/>
    <w:rsid w:val="006703F9"/>
    <w:rsid w:val="00695377"/>
    <w:rsid w:val="006A0D0E"/>
    <w:rsid w:val="006D080A"/>
    <w:rsid w:val="006D106E"/>
    <w:rsid w:val="006D665A"/>
    <w:rsid w:val="00704F39"/>
    <w:rsid w:val="00714115"/>
    <w:rsid w:val="007143A0"/>
    <w:rsid w:val="00722898"/>
    <w:rsid w:val="00736051"/>
    <w:rsid w:val="0076219C"/>
    <w:rsid w:val="00772DC6"/>
    <w:rsid w:val="00797EE0"/>
    <w:rsid w:val="007A67F1"/>
    <w:rsid w:val="00833A11"/>
    <w:rsid w:val="00835CF8"/>
    <w:rsid w:val="00865126"/>
    <w:rsid w:val="008671AD"/>
    <w:rsid w:val="008A6B7D"/>
    <w:rsid w:val="008B5368"/>
    <w:rsid w:val="008B63D3"/>
    <w:rsid w:val="008E34E4"/>
    <w:rsid w:val="00905ECE"/>
    <w:rsid w:val="00920516"/>
    <w:rsid w:val="00930FFB"/>
    <w:rsid w:val="009873E5"/>
    <w:rsid w:val="00990B8F"/>
    <w:rsid w:val="009A2BBC"/>
    <w:rsid w:val="009B1D01"/>
    <w:rsid w:val="009C5A31"/>
    <w:rsid w:val="009D257F"/>
    <w:rsid w:val="009F2E77"/>
    <w:rsid w:val="00A33132"/>
    <w:rsid w:val="00A363D2"/>
    <w:rsid w:val="00A81DDC"/>
    <w:rsid w:val="00AA02B6"/>
    <w:rsid w:val="00B0142C"/>
    <w:rsid w:val="00B36BDC"/>
    <w:rsid w:val="00BD2636"/>
    <w:rsid w:val="00BF500E"/>
    <w:rsid w:val="00C200A5"/>
    <w:rsid w:val="00C6445C"/>
    <w:rsid w:val="00C9247E"/>
    <w:rsid w:val="00CA1135"/>
    <w:rsid w:val="00D06BB8"/>
    <w:rsid w:val="00D33B65"/>
    <w:rsid w:val="00D555A5"/>
    <w:rsid w:val="00D86EF0"/>
    <w:rsid w:val="00E03704"/>
    <w:rsid w:val="00E51DA0"/>
    <w:rsid w:val="00E67A34"/>
    <w:rsid w:val="00EB743C"/>
    <w:rsid w:val="00EC19EF"/>
    <w:rsid w:val="00EC2520"/>
    <w:rsid w:val="00F515ED"/>
    <w:rsid w:val="048A59DE"/>
    <w:rsid w:val="06D469C0"/>
    <w:rsid w:val="0AD462FF"/>
    <w:rsid w:val="0C5967BE"/>
    <w:rsid w:val="0CDD1183"/>
    <w:rsid w:val="15227FC7"/>
    <w:rsid w:val="16F46AC8"/>
    <w:rsid w:val="172C770B"/>
    <w:rsid w:val="18BB1B06"/>
    <w:rsid w:val="1C640C10"/>
    <w:rsid w:val="1F037400"/>
    <w:rsid w:val="22315A73"/>
    <w:rsid w:val="28B25123"/>
    <w:rsid w:val="2A7752AA"/>
    <w:rsid w:val="2E0B53BE"/>
    <w:rsid w:val="2F8A6C00"/>
    <w:rsid w:val="2F962A5B"/>
    <w:rsid w:val="31F173CC"/>
    <w:rsid w:val="321D4B1C"/>
    <w:rsid w:val="335522F9"/>
    <w:rsid w:val="352D2D43"/>
    <w:rsid w:val="3681777D"/>
    <w:rsid w:val="36F65584"/>
    <w:rsid w:val="3A755B37"/>
    <w:rsid w:val="3BC064D4"/>
    <w:rsid w:val="3C7522BD"/>
    <w:rsid w:val="3D2E241C"/>
    <w:rsid w:val="3FF223E9"/>
    <w:rsid w:val="40EA62DC"/>
    <w:rsid w:val="413D1C43"/>
    <w:rsid w:val="48E467B0"/>
    <w:rsid w:val="4A2B675E"/>
    <w:rsid w:val="516D2664"/>
    <w:rsid w:val="5601787D"/>
    <w:rsid w:val="5819335F"/>
    <w:rsid w:val="594A1719"/>
    <w:rsid w:val="59B10C2E"/>
    <w:rsid w:val="5BC3171C"/>
    <w:rsid w:val="5EC31362"/>
    <w:rsid w:val="5FF500A5"/>
    <w:rsid w:val="616311F7"/>
    <w:rsid w:val="648C4342"/>
    <w:rsid w:val="677B475E"/>
    <w:rsid w:val="69952BDA"/>
    <w:rsid w:val="69AE48E8"/>
    <w:rsid w:val="69EF6E06"/>
    <w:rsid w:val="6B907005"/>
    <w:rsid w:val="6C8021A9"/>
    <w:rsid w:val="752F6014"/>
    <w:rsid w:val="76CB6F28"/>
    <w:rsid w:val="79E2274D"/>
    <w:rsid w:val="7FBD392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Body Text Indent 2"/>
    <w:basedOn w:val="1"/>
    <w:qFormat/>
    <w:uiPriority w:val="0"/>
    <w:pPr>
      <w:spacing w:after="120" w:line="480" w:lineRule="auto"/>
      <w:ind w:left="420" w:leftChars="200"/>
    </w:pPr>
    <w:rPr>
      <w:kern w:val="0"/>
      <w:szCs w:val="24"/>
    </w:rPr>
  </w:style>
  <w:style w:type="paragraph" w:styleId="4">
    <w:name w:val="Balloon Text"/>
    <w:basedOn w:val="1"/>
    <w:link w:val="12"/>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character" w:customStyle="1" w:styleId="12">
    <w:name w:val="批注框文本 Char"/>
    <w:basedOn w:val="9"/>
    <w:link w:val="4"/>
    <w:semiHidden/>
    <w:qFormat/>
    <w:uiPriority w:val="99"/>
    <w:rPr>
      <w:sz w:val="18"/>
      <w:szCs w:val="18"/>
    </w:rPr>
  </w:style>
  <w:style w:type="paragraph" w:customStyle="1" w:styleId="13">
    <w:name w:val="Revision"/>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5</Pages>
  <Words>504</Words>
  <Characters>2879</Characters>
  <Lines>23</Lines>
  <Paragraphs>6</Paragraphs>
  <TotalTime>28</TotalTime>
  <ScaleCrop>false</ScaleCrop>
  <LinksUpToDate>false</LinksUpToDate>
  <CharactersWithSpaces>3377</CharactersWithSpaces>
  <Application>WPS Office_11.8.2.9695_F1E327BC-269C-435d-A152-05C5408002CA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2022-03-01T05:41:00Z</dcterms:created>
  <dc:creator>乔宁</dc:creator>
  <cp:lastModifiedBy>user</cp:lastModifiedBy>
  <cp:lastPrinted>2020-11-06T13:29:00Z</cp:lastPrinted>
  <dcterms:modified xsi:type="dcterms:W3CDTF">2022-09-09T10:05:06Z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2052-11.8.2.9695</vt:lpwstr>
  </property>
</Properties>
</file>