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_GB2312" w:hAnsi="宋体" w:eastAsia="仿宋_GB2312"/>
          <w:b/>
          <w:sz w:val="36"/>
          <w:szCs w:val="36"/>
        </w:rPr>
      </w:pPr>
      <w:r>
        <w:rPr>
          <w:rFonts w:hint="eastAsia" w:ascii="仿宋_GB2312" w:hAnsi="宋体" w:eastAsia="仿宋_GB2312"/>
          <w:b/>
          <w:sz w:val="36"/>
          <w:szCs w:val="36"/>
        </w:rPr>
        <w:t>《202</w:t>
      </w:r>
      <w:r>
        <w:rPr>
          <w:rFonts w:hint="eastAsia" w:ascii="仿宋_GB2312" w:hAnsi="宋体" w:eastAsia="仿宋_GB2312"/>
          <w:b/>
          <w:sz w:val="36"/>
          <w:szCs w:val="36"/>
          <w:lang w:val="en-US" w:eastAsia="zh-CN"/>
        </w:rPr>
        <w:t>4</w:t>
      </w:r>
      <w:r>
        <w:rPr>
          <w:rFonts w:hint="eastAsia" w:ascii="仿宋_GB2312" w:hAnsi="宋体" w:eastAsia="仿宋_GB2312"/>
          <w:b/>
          <w:sz w:val="36"/>
          <w:szCs w:val="36"/>
        </w:rPr>
        <w:t>年度海淀区人力资源公共服务中心业务系统运维服务》项目评定采购公告</w:t>
      </w:r>
    </w:p>
    <w:tbl>
      <w:tblPr>
        <w:tblStyle w:val="9"/>
        <w:tblpPr w:leftFromText="180" w:rightFromText="180" w:vertAnchor="page" w:horzAnchor="margin" w:tblpXSpec="center" w:tblpY="2116"/>
        <w:tblW w:w="15005" w:type="dxa"/>
        <w:tblInd w:w="0" w:type="dxa"/>
        <w:tblLayout w:type="fixed"/>
        <w:tblCellMar>
          <w:top w:w="0" w:type="dxa"/>
          <w:left w:w="0" w:type="dxa"/>
          <w:bottom w:w="0" w:type="dxa"/>
          <w:right w:w="0" w:type="dxa"/>
        </w:tblCellMar>
      </w:tblPr>
      <w:tblGrid>
        <w:gridCol w:w="2557"/>
        <w:gridCol w:w="4111"/>
        <w:gridCol w:w="2409"/>
        <w:gridCol w:w="5928"/>
      </w:tblGrid>
      <w:tr>
        <w:tblPrEx>
          <w:tblCellMar>
            <w:top w:w="0" w:type="dxa"/>
            <w:left w:w="0" w:type="dxa"/>
            <w:bottom w:w="0" w:type="dxa"/>
            <w:right w:w="0" w:type="dxa"/>
          </w:tblCellMar>
        </w:tblPrEx>
        <w:trPr>
          <w:trHeight w:val="454" w:hRule="atLeast"/>
        </w:trPr>
        <w:tc>
          <w:tcPr>
            <w:tcW w:w="1500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 w:eastAsia="仿宋_GB2312" w:cs="宋体"/>
                <w:kern w:val="0"/>
                <w:sz w:val="24"/>
              </w:rPr>
            </w:pPr>
            <w:r>
              <w:rPr>
                <w:rFonts w:hint="eastAsia" w:ascii="仿宋_GB2312" w:hAnsi="仿宋" w:eastAsia="仿宋_GB2312" w:cs="宋体"/>
                <w:b/>
                <w:bCs/>
                <w:kern w:val="0"/>
                <w:sz w:val="24"/>
              </w:rPr>
              <w:t>评定项目信息</w:t>
            </w:r>
          </w:p>
        </w:tc>
      </w:tr>
      <w:tr>
        <w:tblPrEx>
          <w:tblCellMar>
            <w:top w:w="0" w:type="dxa"/>
            <w:left w:w="0" w:type="dxa"/>
            <w:bottom w:w="0" w:type="dxa"/>
            <w:right w:w="0" w:type="dxa"/>
          </w:tblCellMar>
        </w:tblPrEx>
        <w:trPr>
          <w:trHeight w:val="518" w:hRule="atLeast"/>
        </w:trPr>
        <w:tc>
          <w:tcPr>
            <w:tcW w:w="2557" w:type="dxa"/>
            <w:tcBorders>
              <w:top w:val="nil"/>
              <w:left w:val="single" w:color="auto" w:sz="4" w:space="0"/>
              <w:bottom w:val="single" w:color="auto" w:sz="4" w:space="0"/>
              <w:right w:val="single" w:color="auto" w:sz="4" w:space="0"/>
            </w:tcBorders>
            <w:shd w:val="clear" w:color="auto" w:fill="auto"/>
            <w:vAlign w:val="center"/>
          </w:tcPr>
          <w:p>
            <w:pPr>
              <w:widowControl/>
              <w:snapToGrid w:val="0"/>
              <w:ind w:firstLine="5" w:firstLineChars="2"/>
              <w:jc w:val="center"/>
              <w:rPr>
                <w:rFonts w:ascii="仿宋_GB2312" w:hAnsi="宋体" w:eastAsia="仿宋_GB2312" w:cs="宋体"/>
                <w:kern w:val="0"/>
                <w:sz w:val="18"/>
                <w:szCs w:val="18"/>
              </w:rPr>
            </w:pPr>
            <w:r>
              <w:rPr>
                <w:rFonts w:hint="eastAsia" w:ascii="仿宋_GB2312" w:hAnsi="宋体" w:eastAsia="仿宋_GB2312" w:cs="宋体"/>
                <w:b/>
                <w:bCs/>
                <w:kern w:val="0"/>
                <w:sz w:val="24"/>
              </w:rPr>
              <w:t>项目名称</w:t>
            </w:r>
          </w:p>
        </w:tc>
        <w:tc>
          <w:tcPr>
            <w:tcW w:w="12448" w:type="dxa"/>
            <w:gridSpan w:val="3"/>
            <w:tcBorders>
              <w:top w:val="single" w:color="auto" w:sz="4" w:space="0"/>
              <w:left w:val="nil"/>
              <w:bottom w:val="single" w:color="auto" w:sz="4" w:space="0"/>
              <w:right w:val="single" w:color="auto" w:sz="4" w:space="0"/>
            </w:tcBorders>
            <w:shd w:val="clear" w:color="auto" w:fill="FFFFFF"/>
            <w:vAlign w:val="center"/>
          </w:tcPr>
          <w:p>
            <w:pPr>
              <w:widowControl/>
              <w:snapToGrid w:val="0"/>
              <w:ind w:firstLine="120" w:firstLineChars="50"/>
              <w:rPr>
                <w:rFonts w:ascii="仿宋_GB2312" w:hAnsi="仿宋" w:eastAsia="仿宋_GB2312" w:cs="宋体"/>
                <w:kern w:val="0"/>
                <w:sz w:val="24"/>
              </w:rPr>
            </w:pPr>
            <w:r>
              <w:rPr>
                <w:rFonts w:hint="eastAsia" w:ascii="仿宋_GB2312" w:hAnsi="仿宋" w:eastAsia="仿宋_GB2312" w:cs="宋体"/>
                <w:kern w:val="0"/>
                <w:sz w:val="24"/>
              </w:rPr>
              <w:t>202</w:t>
            </w:r>
            <w:r>
              <w:rPr>
                <w:rFonts w:hint="eastAsia" w:ascii="仿宋_GB2312" w:hAnsi="仿宋" w:eastAsia="仿宋_GB2312" w:cs="宋体"/>
                <w:kern w:val="0"/>
                <w:sz w:val="24"/>
                <w:lang w:val="en-US" w:eastAsia="zh-CN"/>
              </w:rPr>
              <w:t>4</w:t>
            </w:r>
            <w:r>
              <w:rPr>
                <w:rFonts w:hint="eastAsia" w:ascii="仿宋_GB2312" w:hAnsi="仿宋" w:eastAsia="仿宋_GB2312" w:cs="宋体"/>
                <w:kern w:val="0"/>
                <w:sz w:val="24"/>
              </w:rPr>
              <w:t>年度海淀区人力资源公共服务中心业务系统运维服务</w:t>
            </w:r>
          </w:p>
        </w:tc>
      </w:tr>
      <w:tr>
        <w:tblPrEx>
          <w:tblCellMar>
            <w:top w:w="0" w:type="dxa"/>
            <w:left w:w="0" w:type="dxa"/>
            <w:bottom w:w="0" w:type="dxa"/>
            <w:right w:w="0" w:type="dxa"/>
          </w:tblCellMar>
        </w:tblPrEx>
        <w:trPr>
          <w:trHeight w:val="554" w:hRule="atLeast"/>
        </w:trPr>
        <w:tc>
          <w:tcPr>
            <w:tcW w:w="2557"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kern w:val="0"/>
                <w:sz w:val="18"/>
                <w:szCs w:val="18"/>
              </w:rPr>
            </w:pPr>
            <w:r>
              <w:rPr>
                <w:rFonts w:hint="eastAsia" w:ascii="仿宋_GB2312" w:hAnsi="宋体" w:eastAsia="仿宋_GB2312" w:cs="宋体"/>
                <w:b/>
                <w:bCs/>
                <w:kern w:val="0"/>
                <w:sz w:val="24"/>
              </w:rPr>
              <w:t>项目编号</w:t>
            </w:r>
          </w:p>
        </w:tc>
        <w:tc>
          <w:tcPr>
            <w:tcW w:w="12448" w:type="dxa"/>
            <w:gridSpan w:val="3"/>
            <w:tcBorders>
              <w:top w:val="single" w:color="auto" w:sz="4" w:space="0"/>
              <w:left w:val="nil"/>
              <w:bottom w:val="single" w:color="auto" w:sz="4" w:space="0"/>
              <w:right w:val="single" w:color="auto" w:sz="4" w:space="0"/>
            </w:tcBorders>
            <w:vAlign w:val="center"/>
          </w:tcPr>
          <w:p>
            <w:pPr>
              <w:widowControl/>
              <w:snapToGrid w:val="0"/>
              <w:ind w:left="105" w:leftChars="50"/>
              <w:rPr>
                <w:rFonts w:ascii="仿宋_GB2312" w:hAnsi="仿宋" w:eastAsia="仿宋_GB2312" w:cs="宋体"/>
                <w:kern w:val="0"/>
                <w:sz w:val="24"/>
              </w:rPr>
            </w:pPr>
            <w:r>
              <w:rPr>
                <w:rFonts w:hint="eastAsia" w:ascii="仿宋_GB2312" w:hAnsi="仿宋" w:eastAsia="仿宋_GB2312" w:cs="宋体"/>
                <w:kern w:val="0"/>
                <w:sz w:val="24"/>
              </w:rPr>
              <w:t>HDGFZX-PD-202</w:t>
            </w:r>
            <w:r>
              <w:rPr>
                <w:rFonts w:hint="eastAsia" w:ascii="仿宋_GB2312" w:hAnsi="仿宋" w:eastAsia="仿宋_GB2312" w:cs="宋体"/>
                <w:kern w:val="0"/>
                <w:sz w:val="24"/>
                <w:lang w:val="en-US" w:eastAsia="zh-CN"/>
              </w:rPr>
              <w:t>4</w:t>
            </w:r>
            <w:r>
              <w:rPr>
                <w:rFonts w:hint="eastAsia" w:ascii="仿宋_GB2312" w:hAnsi="仿宋" w:eastAsia="仿宋_GB2312" w:cs="宋体"/>
                <w:kern w:val="0"/>
                <w:sz w:val="24"/>
              </w:rPr>
              <w:t>-01</w:t>
            </w:r>
          </w:p>
        </w:tc>
      </w:tr>
      <w:tr>
        <w:tblPrEx>
          <w:tblCellMar>
            <w:top w:w="0" w:type="dxa"/>
            <w:left w:w="0" w:type="dxa"/>
            <w:bottom w:w="0" w:type="dxa"/>
            <w:right w:w="0" w:type="dxa"/>
          </w:tblCellMar>
        </w:tblPrEx>
        <w:trPr>
          <w:trHeight w:val="562" w:hRule="atLeast"/>
        </w:trPr>
        <w:tc>
          <w:tcPr>
            <w:tcW w:w="2557"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18"/>
                <w:szCs w:val="18"/>
              </w:rPr>
            </w:pPr>
            <w:r>
              <w:rPr>
                <w:rFonts w:hint="eastAsia" w:ascii="仿宋_GB2312" w:hAnsi="宋体" w:eastAsia="仿宋_GB2312" w:cs="宋体"/>
                <w:b/>
                <w:bCs/>
                <w:kern w:val="0"/>
                <w:sz w:val="24"/>
              </w:rPr>
              <w:t>采购单位</w:t>
            </w:r>
          </w:p>
        </w:tc>
        <w:tc>
          <w:tcPr>
            <w:tcW w:w="4111" w:type="dxa"/>
            <w:tcBorders>
              <w:top w:val="nil"/>
              <w:left w:val="nil"/>
              <w:bottom w:val="single" w:color="auto" w:sz="4" w:space="0"/>
              <w:right w:val="single" w:color="auto" w:sz="4" w:space="0"/>
            </w:tcBorders>
            <w:shd w:val="clear" w:color="auto" w:fill="auto"/>
            <w:vAlign w:val="center"/>
          </w:tcPr>
          <w:p>
            <w:pPr>
              <w:widowControl/>
              <w:adjustRightInd w:val="0"/>
              <w:snapToGrid w:val="0"/>
              <w:ind w:firstLine="120" w:firstLineChars="50"/>
              <w:jc w:val="left"/>
              <w:rPr>
                <w:rFonts w:ascii="仿宋_GB2312" w:hAnsi="仿宋" w:eastAsia="仿宋_GB2312" w:cs="宋体"/>
                <w:kern w:val="0"/>
                <w:sz w:val="24"/>
              </w:rPr>
            </w:pPr>
            <w:r>
              <w:rPr>
                <w:rFonts w:hint="eastAsia" w:ascii="仿宋_GB2312" w:hAnsi="仿宋" w:eastAsia="仿宋_GB2312" w:cs="宋体"/>
                <w:kern w:val="0"/>
                <w:sz w:val="24"/>
              </w:rPr>
              <w:t>北京市海淀区人力资源公共服务中心</w:t>
            </w:r>
          </w:p>
        </w:tc>
        <w:tc>
          <w:tcPr>
            <w:tcW w:w="2409" w:type="dxa"/>
            <w:tcBorders>
              <w:top w:val="nil"/>
              <w:left w:val="nil"/>
              <w:bottom w:val="single" w:color="auto" w:sz="4" w:space="0"/>
              <w:right w:val="single" w:color="auto" w:sz="4" w:space="0"/>
            </w:tcBorders>
            <w:shd w:val="clear" w:color="auto" w:fill="FFFFFF"/>
            <w:vAlign w:val="center"/>
          </w:tcPr>
          <w:p>
            <w:pPr>
              <w:widowControl/>
              <w:snapToGrid w:val="0"/>
              <w:jc w:val="center"/>
              <w:rPr>
                <w:rFonts w:ascii="仿宋_GB2312" w:hAnsi="仿宋" w:eastAsia="仿宋_GB2312"/>
                <w:sz w:val="24"/>
              </w:rPr>
            </w:pPr>
            <w:r>
              <w:rPr>
                <w:rFonts w:hint="eastAsia" w:ascii="仿宋_GB2312" w:hAnsi="仿宋" w:eastAsia="仿宋_GB2312" w:cs="宋体"/>
                <w:b/>
                <w:bCs/>
                <w:kern w:val="0"/>
                <w:sz w:val="24"/>
              </w:rPr>
              <w:t>预算金额</w:t>
            </w:r>
            <w:r>
              <w:rPr>
                <w:rFonts w:hint="eastAsia" w:ascii="仿宋_GB2312" w:hAnsi="仿宋" w:eastAsia="仿宋_GB2312" w:cs="宋体"/>
                <w:b/>
                <w:bCs/>
                <w:kern w:val="0"/>
                <w:sz w:val="24"/>
                <w:lang w:eastAsia="zh-CN"/>
              </w:rPr>
              <w:t>（</w:t>
            </w:r>
            <w:r>
              <w:rPr>
                <w:rFonts w:hint="eastAsia" w:ascii="仿宋_GB2312" w:hAnsi="仿宋" w:eastAsia="仿宋_GB2312" w:cs="宋体"/>
                <w:b/>
                <w:bCs/>
                <w:kern w:val="0"/>
                <w:sz w:val="24"/>
              </w:rPr>
              <w:t>元</w:t>
            </w:r>
            <w:r>
              <w:rPr>
                <w:rFonts w:hint="eastAsia" w:ascii="仿宋_GB2312" w:hAnsi="仿宋" w:eastAsia="仿宋_GB2312" w:cs="宋体"/>
                <w:b/>
                <w:bCs/>
                <w:kern w:val="0"/>
                <w:sz w:val="24"/>
                <w:lang w:eastAsia="zh-CN"/>
              </w:rPr>
              <w:t>）</w:t>
            </w:r>
          </w:p>
        </w:tc>
        <w:tc>
          <w:tcPr>
            <w:tcW w:w="5928" w:type="dxa"/>
            <w:tcBorders>
              <w:top w:val="nil"/>
              <w:left w:val="nil"/>
              <w:bottom w:val="single" w:color="auto" w:sz="4" w:space="0"/>
              <w:right w:val="single" w:color="auto" w:sz="4" w:space="0"/>
            </w:tcBorders>
            <w:vAlign w:val="center"/>
          </w:tcPr>
          <w:p>
            <w:pPr>
              <w:widowControl/>
              <w:snapToGrid w:val="0"/>
              <w:ind w:firstLine="120" w:firstLineChars="50"/>
              <w:rPr>
                <w:rFonts w:ascii="仿宋_GB2312" w:hAnsi="仿宋" w:eastAsia="仿宋_GB2312"/>
                <w:sz w:val="24"/>
              </w:rPr>
            </w:pPr>
            <w:r>
              <w:rPr>
                <w:rFonts w:hint="eastAsia" w:ascii="仿宋_GB2312" w:hAnsi="仿宋" w:eastAsia="仿宋_GB2312"/>
                <w:sz w:val="24"/>
              </w:rPr>
              <w:t>人民币</w:t>
            </w:r>
            <w:r>
              <w:rPr>
                <w:rFonts w:ascii="仿宋_GB2312" w:hAnsi="仿宋" w:eastAsia="仿宋_GB2312"/>
                <w:sz w:val="24"/>
              </w:rPr>
              <w:t>271,600</w:t>
            </w:r>
            <w:r>
              <w:rPr>
                <w:rFonts w:hint="eastAsia" w:ascii="仿宋_GB2312" w:hAnsi="仿宋" w:eastAsia="仿宋_GB2312"/>
                <w:sz w:val="24"/>
              </w:rPr>
              <w:t>元</w:t>
            </w:r>
          </w:p>
        </w:tc>
      </w:tr>
      <w:tr>
        <w:tblPrEx>
          <w:tblCellMar>
            <w:top w:w="0" w:type="dxa"/>
            <w:left w:w="0" w:type="dxa"/>
            <w:bottom w:w="0" w:type="dxa"/>
            <w:right w:w="0" w:type="dxa"/>
          </w:tblCellMar>
        </w:tblPrEx>
        <w:trPr>
          <w:trHeight w:val="555" w:hRule="atLeast"/>
        </w:trPr>
        <w:tc>
          <w:tcPr>
            <w:tcW w:w="2557"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18"/>
                <w:szCs w:val="18"/>
              </w:rPr>
            </w:pPr>
            <w:r>
              <w:rPr>
                <w:rFonts w:hint="eastAsia" w:ascii="仿宋_GB2312" w:hAnsi="宋体" w:eastAsia="仿宋_GB2312" w:cs="宋体"/>
                <w:b/>
                <w:bCs/>
                <w:kern w:val="0"/>
                <w:sz w:val="24"/>
              </w:rPr>
              <w:t>采购单位联系人</w:t>
            </w:r>
          </w:p>
        </w:tc>
        <w:tc>
          <w:tcPr>
            <w:tcW w:w="4111" w:type="dxa"/>
            <w:tcBorders>
              <w:top w:val="nil"/>
              <w:left w:val="nil"/>
              <w:bottom w:val="single" w:color="auto" w:sz="4" w:space="0"/>
              <w:right w:val="single" w:color="auto" w:sz="4" w:space="0"/>
            </w:tcBorders>
            <w:shd w:val="clear" w:color="auto" w:fill="auto"/>
            <w:vAlign w:val="center"/>
          </w:tcPr>
          <w:p>
            <w:pPr>
              <w:widowControl/>
              <w:snapToGrid w:val="0"/>
              <w:ind w:firstLine="120" w:firstLineChars="50"/>
              <w:jc w:val="left"/>
              <w:rPr>
                <w:rFonts w:ascii="仿宋_GB2312" w:hAnsi="仿宋" w:eastAsia="仿宋_GB2312" w:cs="宋体"/>
                <w:kern w:val="0"/>
                <w:sz w:val="24"/>
              </w:rPr>
            </w:pPr>
            <w:r>
              <w:rPr>
                <w:rFonts w:hint="eastAsia" w:ascii="仿宋_GB2312" w:hAnsi="仿宋" w:eastAsia="仿宋_GB2312" w:cs="宋体"/>
                <w:kern w:val="0"/>
                <w:sz w:val="24"/>
              </w:rPr>
              <w:t>刘帅</w:t>
            </w:r>
          </w:p>
        </w:tc>
        <w:tc>
          <w:tcPr>
            <w:tcW w:w="2409"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仿宋" w:eastAsia="仿宋_GB2312" w:cs="宋体"/>
                <w:kern w:val="0"/>
                <w:sz w:val="24"/>
              </w:rPr>
            </w:pPr>
            <w:r>
              <w:rPr>
                <w:rFonts w:hint="eastAsia" w:ascii="仿宋_GB2312" w:hAnsi="仿宋" w:eastAsia="仿宋_GB2312" w:cs="宋体"/>
                <w:b/>
                <w:bCs/>
                <w:kern w:val="0"/>
                <w:sz w:val="24"/>
              </w:rPr>
              <w:t>采购单位联系方式</w:t>
            </w:r>
          </w:p>
        </w:tc>
        <w:tc>
          <w:tcPr>
            <w:tcW w:w="5928" w:type="dxa"/>
            <w:tcBorders>
              <w:top w:val="single" w:color="auto" w:sz="4" w:space="0"/>
              <w:left w:val="nil"/>
              <w:bottom w:val="single" w:color="auto" w:sz="4" w:space="0"/>
              <w:right w:val="single" w:color="auto" w:sz="4" w:space="0"/>
            </w:tcBorders>
            <w:shd w:val="clear" w:color="auto" w:fill="FFFFFF"/>
            <w:vAlign w:val="center"/>
          </w:tcPr>
          <w:p>
            <w:pPr>
              <w:widowControl/>
              <w:snapToGrid w:val="0"/>
              <w:ind w:firstLine="120" w:firstLineChars="50"/>
              <w:rPr>
                <w:rFonts w:ascii="仿宋_GB2312" w:hAnsi="仿宋" w:eastAsia="仿宋_GB2312" w:cs="宋体"/>
                <w:kern w:val="0"/>
                <w:sz w:val="24"/>
              </w:rPr>
            </w:pPr>
            <w:r>
              <w:rPr>
                <w:rFonts w:hint="eastAsia" w:ascii="仿宋_GB2312" w:hAnsi="仿宋" w:eastAsia="仿宋_GB2312" w:cs="宋体"/>
                <w:kern w:val="0"/>
                <w:sz w:val="24"/>
              </w:rPr>
              <w:t>电话：88506263 传真：88506077</w:t>
            </w:r>
          </w:p>
        </w:tc>
      </w:tr>
      <w:tr>
        <w:tblPrEx>
          <w:tblCellMar>
            <w:top w:w="0" w:type="dxa"/>
            <w:left w:w="0" w:type="dxa"/>
            <w:bottom w:w="0" w:type="dxa"/>
            <w:right w:w="0" w:type="dxa"/>
          </w:tblCellMar>
        </w:tblPrEx>
        <w:trPr>
          <w:trHeight w:val="549" w:hRule="atLeast"/>
        </w:trPr>
        <w:tc>
          <w:tcPr>
            <w:tcW w:w="2557"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18"/>
                <w:szCs w:val="18"/>
              </w:rPr>
            </w:pPr>
            <w:r>
              <w:rPr>
                <w:rFonts w:hint="eastAsia" w:ascii="仿宋_GB2312" w:hAnsi="宋体" w:eastAsia="仿宋_GB2312" w:cs="宋体"/>
                <w:b/>
                <w:bCs/>
                <w:kern w:val="0"/>
                <w:sz w:val="24"/>
              </w:rPr>
              <w:t>评定地址</w:t>
            </w:r>
          </w:p>
        </w:tc>
        <w:tc>
          <w:tcPr>
            <w:tcW w:w="4111" w:type="dxa"/>
            <w:tcBorders>
              <w:top w:val="nil"/>
              <w:left w:val="nil"/>
              <w:bottom w:val="single" w:color="auto" w:sz="4" w:space="0"/>
              <w:right w:val="single" w:color="auto" w:sz="4" w:space="0"/>
            </w:tcBorders>
            <w:shd w:val="clear" w:color="auto" w:fill="auto"/>
            <w:vAlign w:val="center"/>
          </w:tcPr>
          <w:p>
            <w:pPr>
              <w:widowControl/>
              <w:snapToGrid w:val="0"/>
              <w:ind w:firstLine="120" w:firstLineChars="50"/>
              <w:jc w:val="left"/>
              <w:rPr>
                <w:rFonts w:ascii="仿宋_GB2312" w:hAnsi="仿宋" w:eastAsia="仿宋_GB2312" w:cs="宋体"/>
                <w:kern w:val="0"/>
                <w:sz w:val="24"/>
              </w:rPr>
            </w:pPr>
            <w:r>
              <w:rPr>
                <w:rFonts w:hint="eastAsia" w:ascii="仿宋_GB2312" w:hAnsi="仿宋" w:eastAsia="仿宋_GB2312" w:cs="宋体"/>
                <w:kern w:val="0"/>
                <w:sz w:val="24"/>
              </w:rPr>
              <w:t>北京市海淀区西四环北路73号北区316房间</w:t>
            </w:r>
          </w:p>
        </w:tc>
        <w:tc>
          <w:tcPr>
            <w:tcW w:w="2409" w:type="dxa"/>
            <w:tcBorders>
              <w:top w:val="single" w:color="auto" w:sz="4" w:space="0"/>
              <w:left w:val="nil"/>
              <w:bottom w:val="single" w:color="auto" w:sz="4" w:space="0"/>
              <w:right w:val="single" w:color="auto" w:sz="4" w:space="0"/>
            </w:tcBorders>
            <w:shd w:val="clear" w:color="auto" w:fill="FFFFFF"/>
            <w:vAlign w:val="center"/>
          </w:tcPr>
          <w:p>
            <w:pPr>
              <w:widowControl/>
              <w:snapToGrid w:val="0"/>
              <w:jc w:val="center"/>
              <w:rPr>
                <w:rFonts w:ascii="仿宋_GB2312" w:hAnsi="仿宋" w:eastAsia="仿宋_GB2312" w:cs="宋体"/>
                <w:kern w:val="0"/>
                <w:sz w:val="24"/>
              </w:rPr>
            </w:pPr>
            <w:r>
              <w:rPr>
                <w:rFonts w:hint="eastAsia" w:ascii="仿宋_GB2312" w:hAnsi="仿宋" w:eastAsia="仿宋_GB2312" w:cs="宋体"/>
                <w:b/>
                <w:bCs/>
                <w:kern w:val="0"/>
                <w:sz w:val="24"/>
              </w:rPr>
              <w:t>评定时间</w:t>
            </w:r>
          </w:p>
        </w:tc>
        <w:tc>
          <w:tcPr>
            <w:tcW w:w="5928" w:type="dxa"/>
            <w:tcBorders>
              <w:top w:val="single" w:color="auto" w:sz="4" w:space="0"/>
              <w:left w:val="nil"/>
              <w:bottom w:val="single" w:color="auto" w:sz="4" w:space="0"/>
              <w:right w:val="single" w:color="auto" w:sz="4" w:space="0"/>
            </w:tcBorders>
            <w:shd w:val="clear" w:color="auto" w:fill="FFFFFF"/>
            <w:vAlign w:val="center"/>
          </w:tcPr>
          <w:p>
            <w:pPr>
              <w:widowControl/>
              <w:snapToGrid w:val="0"/>
              <w:ind w:firstLine="120" w:firstLineChars="50"/>
              <w:rPr>
                <w:rFonts w:ascii="仿宋_GB2312" w:hAnsi="仿宋" w:eastAsia="仿宋_GB2312" w:cs="宋体"/>
                <w:kern w:val="0"/>
                <w:sz w:val="24"/>
              </w:rPr>
            </w:pPr>
            <w:r>
              <w:rPr>
                <w:rFonts w:hint="eastAsia" w:ascii="仿宋" w:hAnsi="仿宋" w:eastAsia="仿宋" w:cs="宋体"/>
                <w:kern w:val="0"/>
                <w:sz w:val="24"/>
              </w:rPr>
              <w:t>确认时间后提前通知参与供应商</w:t>
            </w:r>
          </w:p>
        </w:tc>
      </w:tr>
      <w:tr>
        <w:tblPrEx>
          <w:tblCellMar>
            <w:top w:w="0" w:type="dxa"/>
            <w:left w:w="0" w:type="dxa"/>
            <w:bottom w:w="0" w:type="dxa"/>
            <w:right w:w="0" w:type="dxa"/>
          </w:tblCellMar>
        </w:tblPrEx>
        <w:trPr>
          <w:trHeight w:val="2399" w:hRule="atLeast"/>
        </w:trPr>
        <w:tc>
          <w:tcPr>
            <w:tcW w:w="2557"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kern w:val="0"/>
                <w:sz w:val="18"/>
                <w:szCs w:val="18"/>
              </w:rPr>
            </w:pPr>
            <w:r>
              <w:rPr>
                <w:rFonts w:hint="eastAsia" w:ascii="仿宋_GB2312" w:hAnsi="宋体" w:eastAsia="仿宋_GB2312" w:cs="宋体"/>
                <w:b/>
                <w:bCs/>
                <w:kern w:val="0"/>
                <w:sz w:val="24"/>
              </w:rPr>
              <w:t>备注信息</w:t>
            </w:r>
          </w:p>
        </w:tc>
        <w:tc>
          <w:tcPr>
            <w:tcW w:w="12448" w:type="dxa"/>
            <w:gridSpan w:val="3"/>
            <w:tcBorders>
              <w:top w:val="nil"/>
              <w:left w:val="nil"/>
              <w:bottom w:val="single" w:color="auto" w:sz="4" w:space="0"/>
              <w:right w:val="single" w:color="auto" w:sz="4" w:space="0"/>
            </w:tcBorders>
            <w:vAlign w:val="center"/>
          </w:tcPr>
          <w:p>
            <w:pPr>
              <w:widowControl/>
              <w:snapToGrid w:val="0"/>
              <w:ind w:left="105" w:leftChars="50" w:right="105" w:rightChars="50" w:firstLine="240" w:firstLineChars="100"/>
              <w:rPr>
                <w:rFonts w:ascii="仿宋_GB2312" w:hAnsi="仿宋" w:eastAsia="仿宋_GB2312" w:cs="宋体"/>
                <w:kern w:val="0"/>
                <w:sz w:val="24"/>
              </w:rPr>
            </w:pPr>
            <w:r>
              <w:rPr>
                <w:rFonts w:hint="eastAsia" w:ascii="仿宋_GB2312" w:hAnsi="仿宋" w:eastAsia="仿宋_GB2312" w:cs="宋体"/>
                <w:kern w:val="0"/>
                <w:sz w:val="24"/>
              </w:rPr>
              <w:t>1.本次评定拟选定1家供应商。</w:t>
            </w:r>
          </w:p>
          <w:p>
            <w:pPr>
              <w:widowControl/>
              <w:snapToGrid w:val="0"/>
              <w:ind w:left="105" w:leftChars="50" w:right="105" w:rightChars="50" w:firstLine="240" w:firstLineChars="100"/>
              <w:rPr>
                <w:rFonts w:ascii="仿宋_GB2312" w:hAnsi="仿宋" w:eastAsia="仿宋_GB2312" w:cs="宋体"/>
                <w:kern w:val="0"/>
                <w:sz w:val="24"/>
              </w:rPr>
            </w:pPr>
            <w:r>
              <w:rPr>
                <w:rFonts w:hint="eastAsia" w:ascii="仿宋_GB2312" w:hAnsi="仿宋" w:eastAsia="仿宋_GB2312" w:cs="宋体"/>
                <w:kern w:val="0"/>
                <w:sz w:val="24"/>
              </w:rPr>
              <w:t>2．请各供应商认真阅读《评定文件》，如供应商确认参与本项目，请下载附件中的回执，按要求填写后于本次公告发布的五个工作日之内传真（或其他方式）至海淀区人力资源公共服务中心作为报名凭证（以采购单位实际收到的报名回执为准），未报名的供应商不能参与评定。</w:t>
            </w:r>
          </w:p>
          <w:p>
            <w:pPr>
              <w:widowControl/>
              <w:snapToGrid w:val="0"/>
              <w:ind w:left="105" w:leftChars="50" w:right="105" w:rightChars="50" w:firstLine="240" w:firstLineChars="100"/>
              <w:rPr>
                <w:rFonts w:ascii="仿宋_GB2312" w:hAnsi="仿宋" w:eastAsia="仿宋_GB2312" w:cs="宋体"/>
                <w:kern w:val="0"/>
                <w:sz w:val="24"/>
              </w:rPr>
            </w:pPr>
            <w:r>
              <w:rPr>
                <w:rFonts w:hint="eastAsia" w:ascii="仿宋_GB2312" w:hAnsi="仿宋" w:eastAsia="仿宋_GB2312" w:cs="宋体"/>
                <w:kern w:val="0"/>
                <w:sz w:val="24"/>
              </w:rPr>
              <w:t>3.请各参与评定的供应商于（确认时间后提前通知参与供应商）到北京市海淀区西四环北路73号楼中关村人才发展中心北区316房间参与评定。</w:t>
            </w:r>
          </w:p>
        </w:tc>
      </w:tr>
    </w:tbl>
    <w:p>
      <w:pPr>
        <w:tabs>
          <w:tab w:val="left" w:pos="630"/>
        </w:tabs>
        <w:adjustRightInd w:val="0"/>
        <w:snapToGrid w:val="0"/>
        <w:spacing w:line="360" w:lineRule="auto"/>
        <w:rPr>
          <w:rFonts w:ascii="仿宋_GB2312" w:hAnsi="宋体" w:eastAsia="仿宋_GB2312"/>
          <w:sz w:val="24"/>
        </w:rPr>
        <w:sectPr>
          <w:pgSz w:w="16838" w:h="11906" w:orient="landscape"/>
          <w:pgMar w:top="1021" w:right="1474" w:bottom="1021" w:left="1418" w:header="720" w:footer="992" w:gutter="0"/>
          <w:cols w:space="720" w:num="1"/>
          <w:docGrid w:linePitch="312" w:charSpace="0"/>
        </w:sectPr>
      </w:pPr>
    </w:p>
    <w:p>
      <w:pPr>
        <w:adjustRightInd w:val="0"/>
        <w:snapToGrid w:val="0"/>
        <w:jc w:val="center"/>
        <w:outlineLvl w:val="0"/>
        <w:rPr>
          <w:rStyle w:val="14"/>
          <w:rFonts w:ascii="仿宋_GB2312" w:hAnsi="仿宋" w:eastAsia="仿宋_GB2312"/>
          <w:sz w:val="36"/>
          <w:szCs w:val="36"/>
        </w:rPr>
      </w:pPr>
      <w:r>
        <w:rPr>
          <w:rStyle w:val="14"/>
          <w:rFonts w:hint="eastAsia" w:ascii="仿宋_GB2312" w:hAnsi="仿宋" w:eastAsia="仿宋_GB2312"/>
          <w:sz w:val="36"/>
          <w:szCs w:val="36"/>
        </w:rPr>
        <w:t>《202</w:t>
      </w:r>
      <w:r>
        <w:rPr>
          <w:rStyle w:val="14"/>
          <w:rFonts w:hint="eastAsia" w:ascii="仿宋_GB2312" w:hAnsi="仿宋" w:eastAsia="仿宋_GB2312"/>
          <w:sz w:val="36"/>
          <w:szCs w:val="36"/>
          <w:lang w:val="en-US"/>
        </w:rPr>
        <w:t>4</w:t>
      </w:r>
      <w:r>
        <w:rPr>
          <w:rStyle w:val="14"/>
          <w:rFonts w:hint="eastAsia" w:ascii="仿宋_GB2312" w:hAnsi="仿宋" w:eastAsia="仿宋_GB2312"/>
          <w:sz w:val="36"/>
          <w:szCs w:val="36"/>
        </w:rPr>
        <w:t>年度海淀区人力资源公共服务中心业务系统运维服务》项目评定文件</w:t>
      </w:r>
    </w:p>
    <w:p>
      <w:pPr>
        <w:adjustRightInd w:val="0"/>
        <w:snapToGrid w:val="0"/>
        <w:spacing w:after="312" w:afterLines="100" w:line="360" w:lineRule="auto"/>
        <w:jc w:val="center"/>
        <w:outlineLvl w:val="0"/>
        <w:rPr>
          <w:rStyle w:val="14"/>
          <w:rFonts w:ascii="仿宋_GB2312" w:hAnsi="仿宋" w:eastAsia="仿宋_GB2312"/>
          <w:sz w:val="36"/>
          <w:szCs w:val="36"/>
        </w:rPr>
      </w:pPr>
      <w:r>
        <w:rPr>
          <w:rStyle w:val="14"/>
          <w:rFonts w:hint="eastAsia" w:ascii="仿宋_GB2312" w:hAnsi="仿宋" w:eastAsia="仿宋_GB2312"/>
          <w:sz w:val="36"/>
          <w:szCs w:val="36"/>
        </w:rPr>
        <w:t>（项目编号：HDGFZX-PD-202</w:t>
      </w:r>
      <w:r>
        <w:rPr>
          <w:rStyle w:val="14"/>
          <w:rFonts w:hint="eastAsia" w:ascii="仿宋_GB2312" w:hAnsi="仿宋" w:eastAsia="仿宋_GB2312"/>
          <w:sz w:val="36"/>
          <w:szCs w:val="36"/>
          <w:lang w:val="en-US"/>
        </w:rPr>
        <w:t>4</w:t>
      </w:r>
      <w:r>
        <w:rPr>
          <w:rStyle w:val="14"/>
          <w:rFonts w:hint="eastAsia" w:ascii="仿宋_GB2312" w:hAnsi="仿宋" w:eastAsia="仿宋_GB2312"/>
          <w:sz w:val="36"/>
          <w:szCs w:val="36"/>
        </w:rPr>
        <w:t>-01）</w:t>
      </w:r>
    </w:p>
    <w:p>
      <w:pPr>
        <w:spacing w:line="360" w:lineRule="auto"/>
        <w:ind w:firstLine="420"/>
        <w:rPr>
          <w:rFonts w:ascii="仿宋_GB2312" w:hAnsi="仿宋" w:eastAsia="仿宋_GB2312" w:cs="仿宋"/>
          <w:sz w:val="24"/>
          <w:shd w:val="pct10" w:color="auto" w:fill="FFFFFF"/>
        </w:rPr>
      </w:pPr>
      <w:r>
        <w:rPr>
          <w:rFonts w:hint="eastAsia" w:ascii="仿宋_GB2312" w:hAnsi="仿宋" w:eastAsia="仿宋_GB2312"/>
          <w:bCs/>
          <w:sz w:val="24"/>
        </w:rPr>
        <w:t>北京市海淀区人力资源公共服务中心</w:t>
      </w:r>
      <w:r>
        <w:rPr>
          <w:rFonts w:hint="eastAsia" w:ascii="仿宋_GB2312" w:hAnsi="仿宋" w:eastAsia="仿宋_GB2312"/>
          <w:sz w:val="24"/>
        </w:rPr>
        <w:t>对《202</w:t>
      </w:r>
      <w:r>
        <w:rPr>
          <w:rFonts w:hint="eastAsia" w:ascii="仿宋_GB2312" w:hAnsi="仿宋" w:eastAsia="仿宋_GB2312"/>
          <w:sz w:val="24"/>
          <w:lang w:val="en-US" w:eastAsia="zh-CN"/>
        </w:rPr>
        <w:t>4</w:t>
      </w:r>
      <w:r>
        <w:rPr>
          <w:rFonts w:hint="eastAsia" w:ascii="仿宋_GB2312" w:hAnsi="仿宋" w:eastAsia="仿宋_GB2312"/>
          <w:sz w:val="24"/>
        </w:rPr>
        <w:t>年度海淀区人力资源公共服务中心业务系统运维服务》项目进行评定采购，请符合要求且能满足本项目服务需求的供应商前来参与，</w:t>
      </w:r>
      <w:r>
        <w:rPr>
          <w:rFonts w:hint="eastAsia" w:ascii="仿宋_GB2312" w:hAnsi="仿宋" w:eastAsia="仿宋_GB2312" w:cs="仿宋"/>
          <w:sz w:val="24"/>
        </w:rPr>
        <w:t>所有参与评定的供应商，均视同为实质性响应评定文件要求。</w:t>
      </w:r>
    </w:p>
    <w:p>
      <w:pPr>
        <w:adjustRightInd w:val="0"/>
        <w:snapToGrid w:val="0"/>
        <w:spacing w:line="360" w:lineRule="auto"/>
        <w:ind w:firstLine="0"/>
        <w:rPr>
          <w:rFonts w:ascii="仿宋_GB2312" w:hAnsi="仿宋" w:eastAsia="仿宋_GB2312"/>
          <w:sz w:val="24"/>
        </w:rPr>
      </w:pPr>
      <w:bookmarkStart w:id="0" w:name="_Toc268193517"/>
      <w:bookmarkStart w:id="1" w:name="_Toc194823357"/>
      <w:bookmarkStart w:id="2" w:name="_Toc129190705"/>
      <w:bookmarkStart w:id="3" w:name="_Toc268077449"/>
      <w:bookmarkStart w:id="4" w:name="_Toc129491012"/>
      <w:bookmarkStart w:id="5" w:name="_Toc269138186"/>
      <w:r>
        <w:rPr>
          <w:rFonts w:hint="eastAsia" w:ascii="仿宋_GB2312" w:hAnsi="仿宋" w:eastAsia="仿宋_GB2312"/>
          <w:b/>
          <w:sz w:val="24"/>
        </w:rPr>
        <w:t>一、合格评定供应商范围</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．在中华人民共和国境内拥有合法经营权力，具有独立的法人资格，符合国家有关规定，具有合法有效的营业执照，且营业范围涵盖本次评定所要求的范围，有资格和能力完成本评定项目相关服务。</w:t>
      </w:r>
    </w:p>
    <w:p>
      <w:pPr>
        <w:adjustRightInd w:val="0"/>
        <w:snapToGrid w:val="0"/>
        <w:spacing w:line="360" w:lineRule="auto"/>
        <w:ind w:firstLine="420"/>
        <w:rPr>
          <w:rStyle w:val="14"/>
          <w:rFonts w:ascii="仿宋_GB2312" w:hAnsi="仿宋" w:eastAsia="仿宋_GB2312"/>
          <w:b w:val="0"/>
          <w:bCs w:val="0"/>
          <w:kern w:val="2"/>
          <w:sz w:val="24"/>
          <w:szCs w:val="24"/>
        </w:rPr>
      </w:pPr>
      <w:r>
        <w:rPr>
          <w:rFonts w:hint="eastAsia" w:ascii="仿宋_GB2312" w:hAnsi="宋体" w:eastAsia="仿宋_GB2312"/>
          <w:sz w:val="24"/>
        </w:rPr>
        <w:t>2．在规定时间内完成本项目采购响应。本次评定拟选定1家供应商。</w:t>
      </w:r>
    </w:p>
    <w:bookmarkEnd w:id="0"/>
    <w:bookmarkEnd w:id="1"/>
    <w:bookmarkEnd w:id="2"/>
    <w:bookmarkEnd w:id="3"/>
    <w:bookmarkEnd w:id="4"/>
    <w:bookmarkEnd w:id="5"/>
    <w:p>
      <w:pPr>
        <w:adjustRightInd w:val="0"/>
        <w:snapToGrid w:val="0"/>
        <w:spacing w:line="360" w:lineRule="auto"/>
        <w:rPr>
          <w:rFonts w:ascii="仿宋_GB2312" w:hAnsi="仿宋" w:eastAsia="仿宋_GB2312"/>
          <w:sz w:val="24"/>
        </w:rPr>
      </w:pPr>
      <w:r>
        <w:rPr>
          <w:rFonts w:hint="eastAsia" w:ascii="仿宋_GB2312" w:hAnsi="仿宋" w:eastAsia="仿宋_GB2312"/>
          <w:b/>
          <w:sz w:val="24"/>
        </w:rPr>
        <w:t>二、</w:t>
      </w:r>
      <w:bookmarkStart w:id="6" w:name="_Toc166647419"/>
      <w:bookmarkStart w:id="7" w:name="_Toc129190717"/>
      <w:r>
        <w:rPr>
          <w:rFonts w:hint="eastAsia" w:ascii="仿宋_GB2312" w:hAnsi="仿宋" w:eastAsia="仿宋_GB2312"/>
          <w:b/>
          <w:sz w:val="24"/>
        </w:rPr>
        <w:t>报价说明</w:t>
      </w:r>
    </w:p>
    <w:bookmarkEnd w:id="6"/>
    <w:bookmarkEnd w:id="7"/>
    <w:p>
      <w:pPr>
        <w:tabs>
          <w:tab w:val="left" w:pos="518"/>
        </w:tabs>
        <w:adjustRightInd w:val="0"/>
        <w:snapToGrid w:val="0"/>
        <w:spacing w:line="360" w:lineRule="auto"/>
        <w:rPr>
          <w:rFonts w:ascii="仿宋_GB2312" w:hAnsi="仿宋" w:eastAsia="仿宋_GB2312"/>
          <w:sz w:val="24"/>
        </w:rPr>
      </w:pPr>
      <w:bookmarkStart w:id="8" w:name="_Toc129190722"/>
      <w:bookmarkStart w:id="9" w:name="_Toc166647424"/>
      <w:r>
        <w:rPr>
          <w:rFonts w:hint="eastAsia" w:ascii="仿宋_GB2312" w:hAnsi="仿宋" w:eastAsia="仿宋_GB2312"/>
          <w:sz w:val="24"/>
        </w:rPr>
        <w:tab/>
      </w:r>
      <w:r>
        <w:rPr>
          <w:rFonts w:hint="eastAsia" w:ascii="仿宋_GB2312" w:hAnsi="仿宋" w:eastAsia="仿宋_GB2312"/>
          <w:sz w:val="24"/>
        </w:rPr>
        <w:t>1.所有报价除特殊说明外均以人民币（元）为计算单位。</w:t>
      </w:r>
    </w:p>
    <w:p>
      <w:pPr>
        <w:tabs>
          <w:tab w:val="left" w:pos="518"/>
        </w:tabs>
        <w:adjustRightInd w:val="0"/>
        <w:snapToGrid w:val="0"/>
        <w:spacing w:line="360" w:lineRule="auto"/>
        <w:rPr>
          <w:rFonts w:ascii="仿宋_GB2312" w:hAnsi="仿宋" w:eastAsia="仿宋_GB2312"/>
          <w:sz w:val="24"/>
        </w:rPr>
      </w:pPr>
      <w:r>
        <w:rPr>
          <w:rFonts w:hint="eastAsia" w:ascii="仿宋_GB2312" w:hAnsi="仿宋" w:eastAsia="仿宋_GB2312"/>
          <w:sz w:val="24"/>
        </w:rPr>
        <w:tab/>
      </w:r>
      <w:r>
        <w:rPr>
          <w:rFonts w:hint="eastAsia" w:ascii="仿宋_GB2312" w:hAnsi="仿宋" w:eastAsia="仿宋_GB2312"/>
          <w:sz w:val="24"/>
        </w:rPr>
        <w:t>2.供应商所报价格应当满足评定文件中的所有要求。报价不存在可选择报价。</w:t>
      </w:r>
    </w:p>
    <w:p>
      <w:pPr>
        <w:tabs>
          <w:tab w:val="left" w:pos="0"/>
        </w:tabs>
        <w:adjustRightInd w:val="0"/>
        <w:snapToGrid w:val="0"/>
        <w:spacing w:line="360" w:lineRule="auto"/>
        <w:outlineLvl w:val="0"/>
        <w:rPr>
          <w:rFonts w:ascii="仿宋_GB2312" w:hAnsi="仿宋" w:eastAsia="仿宋_GB2312"/>
          <w:b/>
          <w:sz w:val="24"/>
        </w:rPr>
      </w:pPr>
      <w:r>
        <w:rPr>
          <w:rFonts w:hint="eastAsia" w:ascii="仿宋_GB2312" w:hAnsi="仿宋" w:eastAsia="仿宋_GB2312"/>
          <w:b/>
          <w:sz w:val="24"/>
        </w:rPr>
        <w:t>三、服务要求</w:t>
      </w:r>
    </w:p>
    <w:p>
      <w:pPr>
        <w:tabs>
          <w:tab w:val="left" w:pos="0"/>
        </w:tabs>
        <w:adjustRightInd w:val="0"/>
        <w:snapToGrid w:val="0"/>
        <w:spacing w:line="360" w:lineRule="auto"/>
        <w:ind w:firstLine="480" w:firstLineChars="200"/>
        <w:outlineLvl w:val="0"/>
        <w:rPr>
          <w:rFonts w:ascii="仿宋_GB2312" w:hAnsi="宋体" w:eastAsia="仿宋_GB2312"/>
          <w:sz w:val="24"/>
        </w:rPr>
      </w:pPr>
      <w:r>
        <w:rPr>
          <w:rFonts w:hint="eastAsia" w:ascii="仿宋_GB2312" w:hAnsi="宋体" w:eastAsia="仿宋_GB2312"/>
          <w:sz w:val="24"/>
        </w:rPr>
        <w:t>评定成交供应商提供的商品（服务）不能低于本评定文件和行业管理的要求。具体货物和服务需求见附件1。</w:t>
      </w:r>
    </w:p>
    <w:p>
      <w:pPr>
        <w:tabs>
          <w:tab w:val="left" w:pos="0"/>
        </w:tabs>
        <w:adjustRightInd w:val="0"/>
        <w:snapToGrid w:val="0"/>
        <w:spacing w:line="360" w:lineRule="auto"/>
        <w:outlineLvl w:val="0"/>
        <w:rPr>
          <w:rFonts w:ascii="仿宋_GB2312" w:hAnsi="宋体" w:eastAsia="仿宋_GB2312"/>
          <w:b/>
          <w:sz w:val="24"/>
        </w:rPr>
      </w:pPr>
      <w:r>
        <w:rPr>
          <w:rFonts w:hint="eastAsia" w:ascii="仿宋_GB2312" w:hAnsi="宋体" w:eastAsia="仿宋_GB2312"/>
          <w:b/>
          <w:sz w:val="24"/>
        </w:rPr>
        <w:t xml:space="preserve">四、参与评定须知 </w:t>
      </w:r>
    </w:p>
    <w:p>
      <w:pPr>
        <w:tabs>
          <w:tab w:val="left" w:pos="0"/>
        </w:tabs>
        <w:adjustRightInd w:val="0"/>
        <w:snapToGrid w:val="0"/>
        <w:spacing w:line="360" w:lineRule="auto"/>
        <w:ind w:firstLine="480" w:firstLineChars="200"/>
        <w:outlineLvl w:val="0"/>
        <w:rPr>
          <w:rFonts w:ascii="仿宋_GB2312" w:hAnsi="宋体" w:eastAsia="仿宋_GB2312"/>
          <w:sz w:val="24"/>
        </w:rPr>
      </w:pPr>
      <w:r>
        <w:rPr>
          <w:rFonts w:hint="eastAsia" w:ascii="仿宋_GB2312" w:hAnsi="宋体" w:eastAsia="仿宋_GB2312"/>
          <w:sz w:val="24"/>
        </w:rPr>
        <w:t>1.参与评定供应商的授权代表需携带《法定代表人授权书》（附件4）、《评定承诺书》（附件5）、</w:t>
      </w:r>
      <w:r>
        <w:rPr>
          <w:rFonts w:hint="eastAsia" w:ascii="仿宋_GB2312" w:eastAsia="仿宋_GB2312"/>
          <w:color w:val="000000" w:themeColor="text1"/>
          <w:sz w:val="24"/>
          <w14:textFill>
            <w14:solidFill>
              <w14:schemeClr w14:val="tx1"/>
            </w14:solidFill>
          </w14:textFill>
        </w:rPr>
        <w:t>营业执照复印件</w:t>
      </w:r>
      <w:r>
        <w:rPr>
          <w:rFonts w:hint="eastAsia" w:ascii="仿宋_GB2312" w:hAnsi="宋体" w:eastAsia="仿宋_GB2312"/>
          <w:color w:val="000000" w:themeColor="text1"/>
          <w:sz w:val="24"/>
          <w14:textFill>
            <w14:solidFill>
              <w14:schemeClr w14:val="tx1"/>
            </w14:solidFill>
          </w14:textFill>
        </w:rPr>
        <w:t>、被授权人身份证原件及复印件，并提前将上述材料传真或将邮件发至采购单位。参与供应商按《评分标准》制定参评文件，供评定小组进行评分。</w:t>
      </w:r>
    </w:p>
    <w:p>
      <w:pPr>
        <w:tabs>
          <w:tab w:val="left" w:pos="0"/>
        </w:tabs>
        <w:adjustRightInd w:val="0"/>
        <w:snapToGrid w:val="0"/>
        <w:spacing w:line="360" w:lineRule="auto"/>
        <w:ind w:firstLine="480" w:firstLineChars="200"/>
        <w:outlineLvl w:val="0"/>
        <w:rPr>
          <w:rFonts w:ascii="仿宋_GB2312" w:hAnsi="宋体" w:eastAsia="仿宋_GB2312"/>
          <w:sz w:val="24"/>
        </w:rPr>
      </w:pPr>
      <w:r>
        <w:rPr>
          <w:rFonts w:hint="eastAsia" w:ascii="仿宋_GB2312" w:hAnsi="宋体" w:eastAsia="仿宋_GB2312"/>
          <w:sz w:val="24"/>
        </w:rPr>
        <w:t>2.评定现场参加人员包括：</w:t>
      </w:r>
    </w:p>
    <w:p>
      <w:pPr>
        <w:tabs>
          <w:tab w:val="left" w:pos="0"/>
        </w:tabs>
        <w:adjustRightInd w:val="0"/>
        <w:snapToGrid w:val="0"/>
        <w:spacing w:line="360" w:lineRule="auto"/>
        <w:ind w:firstLine="480" w:firstLineChars="200"/>
        <w:outlineLvl w:val="0"/>
        <w:rPr>
          <w:rFonts w:ascii="仿宋_GB2312" w:hAnsi="宋体" w:eastAsia="仿宋_GB2312"/>
          <w:sz w:val="24"/>
        </w:rPr>
      </w:pPr>
      <w:r>
        <w:rPr>
          <w:rFonts w:hint="eastAsia" w:ascii="仿宋_GB2312" w:hAnsi="宋体" w:eastAsia="仿宋_GB2312"/>
          <w:sz w:val="24"/>
        </w:rPr>
        <w:t>（1）评定小组（由采购单位相关人员组成）；</w:t>
      </w:r>
    </w:p>
    <w:p>
      <w:pPr>
        <w:tabs>
          <w:tab w:val="left" w:pos="0"/>
        </w:tabs>
        <w:adjustRightInd w:val="0"/>
        <w:snapToGrid w:val="0"/>
        <w:spacing w:line="360" w:lineRule="auto"/>
        <w:ind w:firstLine="480" w:firstLineChars="200"/>
        <w:outlineLvl w:val="0"/>
        <w:rPr>
          <w:rFonts w:ascii="仿宋_GB2312" w:hAnsi="宋体" w:eastAsia="仿宋_GB2312"/>
          <w:sz w:val="24"/>
        </w:rPr>
      </w:pPr>
      <w:r>
        <w:rPr>
          <w:rFonts w:hint="eastAsia" w:ascii="仿宋_GB2312" w:hAnsi="宋体" w:eastAsia="仿宋_GB2312"/>
          <w:sz w:val="24"/>
        </w:rPr>
        <w:t>（2）供应商：授权代表（不超过2人）；</w:t>
      </w:r>
    </w:p>
    <w:p>
      <w:pPr>
        <w:tabs>
          <w:tab w:val="left" w:pos="315"/>
        </w:tabs>
        <w:adjustRightInd w:val="0"/>
        <w:snapToGrid w:val="0"/>
        <w:spacing w:line="360" w:lineRule="auto"/>
        <w:rPr>
          <w:rFonts w:ascii="仿宋_GB2312" w:hAnsi="宋体" w:eastAsia="仿宋_GB2312"/>
          <w:b/>
          <w:sz w:val="24"/>
        </w:rPr>
      </w:pPr>
      <w:r>
        <w:rPr>
          <w:rFonts w:hint="eastAsia" w:ascii="仿宋_GB2312" w:hAnsi="宋体" w:eastAsia="仿宋_GB2312"/>
          <w:b/>
          <w:sz w:val="24"/>
        </w:rPr>
        <w:t>五、</w:t>
      </w:r>
      <w:bookmarkEnd w:id="8"/>
      <w:bookmarkEnd w:id="9"/>
      <w:r>
        <w:rPr>
          <w:rFonts w:hint="eastAsia" w:ascii="仿宋_GB2312" w:hAnsi="宋体" w:eastAsia="仿宋_GB2312"/>
          <w:b/>
          <w:sz w:val="24"/>
        </w:rPr>
        <w:t>评定规则</w:t>
      </w:r>
    </w:p>
    <w:p>
      <w:pPr>
        <w:tabs>
          <w:tab w:val="left" w:pos="315"/>
        </w:tabs>
        <w:adjustRightInd w:val="0"/>
        <w:snapToGrid w:val="0"/>
        <w:spacing w:line="360" w:lineRule="auto"/>
        <w:ind w:firstLine="470" w:firstLineChars="196"/>
        <w:rPr>
          <w:rFonts w:ascii="仿宋_GB2312" w:hAnsi="宋体" w:eastAsia="仿宋_GB2312"/>
          <w:sz w:val="24"/>
        </w:rPr>
      </w:pPr>
      <w:r>
        <w:rPr>
          <w:rFonts w:hint="eastAsia" w:ascii="仿宋_GB2312" w:hAnsi="宋体" w:eastAsia="仿宋_GB2312"/>
          <w:sz w:val="24"/>
        </w:rPr>
        <w:t>本次评定按照满足评定需求、采取综合评分最高的原则，确定成交供应商。具体评定规则如下：</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一、评定工作流程</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1．本次评定拟选定1家供应商。</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2．本次评定按各参与供应商交回执时间前后顺序进行，评定小组在评定开始前，每个供应商提供评定所需的《项目运维服务方案》。评定小组会根据《评分标准》里的内容为各供应商打分。</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评定结束后，按照最高分中标的原则，采购人将质量和服务均能满足评定文件实质性响应要求且最后得分最高的供应商确定为成交供应商，并当场宣布（评审得分相同时，按运行维护方案得分由高到低顺序排列；评审得分且运行维护方案得分相同时，按价格得分</w:t>
      </w:r>
      <w:r>
        <w:rPr>
          <w:rFonts w:hint="eastAsia" w:ascii="仿宋_GB2312" w:hAnsi="宋体" w:eastAsia="仿宋_GB2312"/>
          <w:sz w:val="24"/>
          <w:lang w:eastAsia="zh-CN"/>
        </w:rPr>
        <w:t>从高到低</w:t>
      </w:r>
      <w:r>
        <w:rPr>
          <w:rFonts w:hint="eastAsia" w:ascii="仿宋_GB2312" w:hAnsi="宋体" w:eastAsia="仿宋_GB2312"/>
          <w:sz w:val="24"/>
        </w:rPr>
        <w:t>顺序排列）。</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4.评定过程中,供应商可根据实际情况退出评定，评定结束后，供应商不得退出。</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5．评定过程中有供应商退出，未退出评定的供应商数量大于1时，继续评定。当未退出评定的供应商数量小于或等于1时，采购人应请示评定小组是否选定未退出供应商：</w:t>
      </w:r>
    </w:p>
    <w:p>
      <w:pPr>
        <w:tabs>
          <w:tab w:val="left" w:pos="315"/>
        </w:tabs>
        <w:adjustRightInd w:val="0"/>
        <w:snapToGrid w:val="0"/>
        <w:spacing w:line="360" w:lineRule="auto"/>
        <w:rPr>
          <w:rFonts w:ascii="仿宋_GB2312" w:hAnsi="宋体" w:eastAsia="仿宋_GB2312"/>
          <w:sz w:val="24"/>
        </w:rPr>
      </w:pPr>
      <w:r>
        <w:rPr>
          <w:rFonts w:hint="eastAsia" w:ascii="仿宋_GB2312" w:hAnsi="宋体" w:eastAsia="仿宋_GB2312"/>
          <w:sz w:val="24"/>
        </w:rPr>
        <w:t>A．选定：未退出评定的供应商符合项目需求，选定为本项目供应商。</w:t>
      </w:r>
    </w:p>
    <w:p>
      <w:pPr>
        <w:tabs>
          <w:tab w:val="left" w:pos="315"/>
        </w:tabs>
        <w:adjustRightInd w:val="0"/>
        <w:snapToGrid w:val="0"/>
        <w:spacing w:line="360" w:lineRule="auto"/>
        <w:rPr>
          <w:rFonts w:ascii="仿宋_GB2312" w:hAnsi="宋体" w:eastAsia="仿宋_GB2312"/>
          <w:sz w:val="24"/>
        </w:rPr>
      </w:pPr>
      <w:r>
        <w:rPr>
          <w:rFonts w:hint="eastAsia" w:ascii="仿宋_GB2312" w:hAnsi="宋体" w:eastAsia="仿宋_GB2312"/>
          <w:sz w:val="24"/>
        </w:rPr>
        <w:t>B．不选定：未退出评定的供应商不符合项目需求，不选定本项目供应商，本次评定结束。</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二、评定要求</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1．供应商应当按照评定文件的要求编写服务方案，所报方案应当满足评定文件中的所有要求。</w:t>
      </w:r>
    </w:p>
    <w:p>
      <w:pPr>
        <w:tabs>
          <w:tab w:val="left" w:pos="315"/>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 与评定工作无关的人员不得进入评定现场，参加评定的每家供应商人数应不超过2人。</w:t>
      </w:r>
    </w:p>
    <w:p>
      <w:pPr>
        <w:tabs>
          <w:tab w:val="left" w:pos="315"/>
        </w:tabs>
        <w:adjustRightInd w:val="0"/>
        <w:snapToGrid w:val="0"/>
        <w:spacing w:line="360" w:lineRule="auto"/>
        <w:ind w:firstLine="480" w:firstLineChars="200"/>
        <w:rPr>
          <w:rFonts w:ascii="仿宋_GB2312" w:hAnsi="宋体" w:eastAsia="仿宋_GB2312"/>
          <w:sz w:val="24"/>
        </w:rPr>
      </w:pPr>
    </w:p>
    <w:p>
      <w:pPr>
        <w:tabs>
          <w:tab w:val="left" w:pos="315"/>
        </w:tabs>
        <w:adjustRightInd w:val="0"/>
        <w:snapToGrid w:val="0"/>
        <w:spacing w:line="360" w:lineRule="auto"/>
        <w:rPr>
          <w:rFonts w:ascii="仿宋_GB2312" w:hAnsi="宋体" w:eastAsia="仿宋_GB2312"/>
          <w:sz w:val="24"/>
        </w:rPr>
      </w:pPr>
    </w:p>
    <w:p>
      <w:pPr>
        <w:widowControl/>
        <w:jc w:val="left"/>
        <w:rPr>
          <w:rFonts w:ascii="仿宋_GB2312" w:hAnsi="宋体" w:eastAsia="仿宋_GB2312"/>
          <w:sz w:val="24"/>
        </w:rPr>
      </w:pPr>
      <w:r>
        <w:rPr>
          <w:rFonts w:hint="eastAsia" w:ascii="仿宋_GB2312" w:hAnsi="宋体" w:eastAsia="仿宋_GB2312"/>
          <w:sz w:val="24"/>
        </w:rPr>
        <w:br w:type="page"/>
      </w:r>
    </w:p>
    <w:p>
      <w:pPr>
        <w:tabs>
          <w:tab w:val="left" w:pos="315"/>
        </w:tabs>
        <w:adjustRightInd w:val="0"/>
        <w:snapToGrid w:val="0"/>
        <w:spacing w:line="360" w:lineRule="auto"/>
        <w:rPr>
          <w:rFonts w:ascii="仿宋_GB2312" w:hAnsi="宋体" w:eastAsia="仿宋_GB2312"/>
          <w:b/>
          <w:sz w:val="24"/>
        </w:rPr>
      </w:pPr>
      <w:r>
        <w:rPr>
          <w:rFonts w:hint="eastAsia" w:ascii="仿宋_GB2312" w:hAnsi="宋体" w:eastAsia="仿宋_GB2312"/>
          <w:b/>
          <w:sz w:val="24"/>
        </w:rPr>
        <w:t>六、评分标准</w:t>
      </w:r>
    </w:p>
    <w:tbl>
      <w:tblPr>
        <w:tblStyle w:val="9"/>
        <w:tblW w:w="894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320"/>
        <w:gridCol w:w="810"/>
        <w:gridCol w:w="4700"/>
        <w:gridCol w:w="14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704" w:type="dxa"/>
            <w:tcBorders>
              <w:top w:val="single" w:color="auto" w:sz="4" w:space="0"/>
              <w:left w:val="single" w:color="auto" w:sz="4" w:space="0"/>
              <w:bottom w:val="single" w:color="auto" w:sz="6" w:space="0"/>
              <w:right w:val="single" w:color="auto" w:sz="6" w:space="0"/>
            </w:tcBorders>
          </w:tcPr>
          <w:p>
            <w:pPr>
              <w:spacing w:before="156" w:beforeLines="50"/>
              <w:jc w:val="center"/>
              <w:rPr>
                <w:rFonts w:ascii="仿宋" w:hAnsi="仿宋" w:eastAsia="仿宋" w:cs="Arial"/>
                <w:sz w:val="24"/>
              </w:rPr>
            </w:pPr>
            <w:r>
              <w:rPr>
                <w:rFonts w:hint="eastAsia" w:ascii="仿宋" w:hAnsi="仿宋" w:eastAsia="仿宋"/>
                <w:sz w:val="24"/>
              </w:rPr>
              <w:t>序号</w:t>
            </w:r>
          </w:p>
        </w:tc>
        <w:tc>
          <w:tcPr>
            <w:tcW w:w="1320" w:type="dxa"/>
            <w:tcBorders>
              <w:top w:val="single" w:color="auto" w:sz="4" w:space="0"/>
              <w:left w:val="single" w:color="auto" w:sz="6" w:space="0"/>
              <w:bottom w:val="single" w:color="auto" w:sz="6" w:space="0"/>
              <w:right w:val="single" w:color="auto" w:sz="6" w:space="0"/>
            </w:tcBorders>
          </w:tcPr>
          <w:p>
            <w:pPr>
              <w:spacing w:before="156" w:beforeLines="50"/>
              <w:jc w:val="center"/>
              <w:rPr>
                <w:rFonts w:ascii="仿宋" w:hAnsi="仿宋" w:eastAsia="仿宋" w:cs="Arial"/>
                <w:sz w:val="24"/>
              </w:rPr>
            </w:pPr>
            <w:r>
              <w:rPr>
                <w:rFonts w:hint="eastAsia" w:ascii="仿宋" w:hAnsi="仿宋" w:eastAsia="仿宋"/>
                <w:sz w:val="24"/>
              </w:rPr>
              <w:t>评分内容</w:t>
            </w:r>
          </w:p>
        </w:tc>
        <w:tc>
          <w:tcPr>
            <w:tcW w:w="810" w:type="dxa"/>
            <w:tcBorders>
              <w:top w:val="single" w:color="auto" w:sz="4" w:space="0"/>
              <w:left w:val="single" w:color="auto" w:sz="6" w:space="0"/>
              <w:bottom w:val="single" w:color="auto" w:sz="6" w:space="0"/>
              <w:right w:val="single" w:color="auto" w:sz="6" w:space="0"/>
            </w:tcBorders>
          </w:tcPr>
          <w:p>
            <w:pPr>
              <w:spacing w:before="156" w:beforeLines="50"/>
              <w:jc w:val="center"/>
              <w:rPr>
                <w:rFonts w:ascii="仿宋" w:hAnsi="仿宋" w:eastAsia="仿宋" w:cs="Arial"/>
                <w:sz w:val="24"/>
              </w:rPr>
            </w:pPr>
            <w:r>
              <w:rPr>
                <w:rFonts w:hint="eastAsia" w:ascii="仿宋" w:hAnsi="仿宋" w:eastAsia="仿宋"/>
                <w:sz w:val="24"/>
              </w:rPr>
              <w:t>分值</w:t>
            </w:r>
          </w:p>
        </w:tc>
        <w:tc>
          <w:tcPr>
            <w:tcW w:w="4700" w:type="dxa"/>
            <w:tcBorders>
              <w:top w:val="single" w:color="auto" w:sz="4" w:space="0"/>
              <w:left w:val="single" w:color="auto" w:sz="6" w:space="0"/>
              <w:bottom w:val="single" w:color="auto" w:sz="6" w:space="0"/>
              <w:right w:val="single" w:color="auto" w:sz="4" w:space="0"/>
            </w:tcBorders>
          </w:tcPr>
          <w:p>
            <w:pPr>
              <w:spacing w:before="156" w:beforeLines="50"/>
              <w:jc w:val="center"/>
              <w:rPr>
                <w:rFonts w:ascii="仿宋" w:hAnsi="仿宋" w:eastAsia="仿宋" w:cs="Arial"/>
                <w:sz w:val="24"/>
              </w:rPr>
            </w:pPr>
            <w:r>
              <w:rPr>
                <w:rFonts w:hint="eastAsia" w:ascii="仿宋" w:hAnsi="仿宋" w:eastAsia="仿宋"/>
                <w:sz w:val="24"/>
              </w:rPr>
              <w:t>评分标准说明</w:t>
            </w:r>
          </w:p>
        </w:tc>
        <w:tc>
          <w:tcPr>
            <w:tcW w:w="1410" w:type="dxa"/>
            <w:tcBorders>
              <w:top w:val="single" w:color="auto" w:sz="4" w:space="0"/>
              <w:left w:val="single" w:color="auto" w:sz="4" w:space="0"/>
              <w:bottom w:val="single" w:color="auto" w:sz="6" w:space="0"/>
              <w:right w:val="single" w:color="auto" w:sz="4" w:space="0"/>
            </w:tcBorders>
          </w:tcPr>
          <w:p>
            <w:pPr>
              <w:spacing w:before="156" w:beforeLines="50"/>
              <w:jc w:val="center"/>
              <w:rPr>
                <w:rFonts w:ascii="仿宋" w:hAnsi="仿宋" w:eastAsia="仿宋"/>
                <w:sz w:val="24"/>
              </w:rPr>
            </w:pPr>
            <w:r>
              <w:rPr>
                <w:rFonts w:hint="eastAsia" w:ascii="仿宋" w:hAnsi="仿宋" w:eastAsia="仿宋"/>
                <w:sz w:val="24"/>
              </w:rPr>
              <w:t>分项得分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704" w:type="dxa"/>
            <w:tcBorders>
              <w:top w:val="single" w:color="auto" w:sz="6" w:space="0"/>
              <w:left w:val="single" w:color="auto" w:sz="4" w:space="0"/>
              <w:bottom w:val="single" w:color="auto" w:sz="6" w:space="0"/>
              <w:right w:val="single" w:color="auto" w:sz="6" w:space="0"/>
            </w:tcBorders>
            <w:vAlign w:val="center"/>
          </w:tcPr>
          <w:p>
            <w:pPr>
              <w:spacing w:before="156" w:beforeLines="50"/>
              <w:jc w:val="center"/>
              <w:rPr>
                <w:rFonts w:ascii="仿宋" w:hAnsi="仿宋" w:eastAsia="仿宋"/>
                <w:sz w:val="24"/>
              </w:rPr>
            </w:pPr>
            <w:r>
              <w:rPr>
                <w:rFonts w:hint="eastAsia" w:ascii="仿宋" w:hAnsi="仿宋" w:eastAsia="仿宋"/>
                <w:sz w:val="24"/>
              </w:rPr>
              <w:t>1</w:t>
            </w:r>
          </w:p>
        </w:tc>
        <w:tc>
          <w:tcPr>
            <w:tcW w:w="1320"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仿宋" w:hAnsi="仿宋" w:eastAsia="仿宋"/>
                <w:sz w:val="24"/>
              </w:rPr>
            </w:pPr>
            <w:r>
              <w:rPr>
                <w:rFonts w:hint="eastAsia" w:ascii="仿宋" w:hAnsi="仿宋" w:eastAsia="仿宋"/>
                <w:sz w:val="24"/>
              </w:rPr>
              <w:t>价格</w:t>
            </w:r>
          </w:p>
        </w:tc>
        <w:tc>
          <w:tcPr>
            <w:tcW w:w="810"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仿宋" w:hAnsi="仿宋" w:eastAsia="仿宋"/>
                <w:sz w:val="24"/>
              </w:rPr>
            </w:pPr>
            <w:r>
              <w:rPr>
                <w:rFonts w:ascii="仿宋" w:hAnsi="仿宋" w:eastAsia="仿宋"/>
                <w:sz w:val="24"/>
              </w:rPr>
              <w:t>0-</w:t>
            </w:r>
            <w:r>
              <w:rPr>
                <w:rFonts w:hint="eastAsia" w:ascii="仿宋" w:hAnsi="仿宋" w:eastAsia="仿宋"/>
                <w:sz w:val="24"/>
              </w:rPr>
              <w:t>1</w:t>
            </w:r>
            <w:r>
              <w:rPr>
                <w:rFonts w:ascii="仿宋" w:hAnsi="仿宋" w:eastAsia="仿宋"/>
                <w:sz w:val="24"/>
              </w:rPr>
              <w:t>0</w:t>
            </w:r>
          </w:p>
        </w:tc>
        <w:tc>
          <w:tcPr>
            <w:tcW w:w="4700" w:type="dxa"/>
            <w:tcBorders>
              <w:top w:val="single" w:color="auto" w:sz="6" w:space="0"/>
              <w:left w:val="single" w:color="auto" w:sz="6" w:space="0"/>
              <w:bottom w:val="single" w:color="auto" w:sz="6" w:space="0"/>
              <w:right w:val="single" w:color="auto" w:sz="4" w:space="0"/>
            </w:tcBorders>
          </w:tcPr>
          <w:p>
            <w:pPr>
              <w:spacing w:before="156" w:beforeLines="50"/>
              <w:rPr>
                <w:rFonts w:ascii="仿宋" w:hAnsi="仿宋" w:eastAsia="仿宋"/>
                <w:sz w:val="24"/>
              </w:rPr>
            </w:pPr>
            <w:r>
              <w:rPr>
                <w:rFonts w:hint="eastAsia" w:ascii="仿宋" w:hAnsi="仿宋" w:eastAsia="仿宋"/>
                <w:sz w:val="24"/>
              </w:rPr>
              <w:t>采购</w:t>
            </w:r>
            <w:r>
              <w:rPr>
                <w:rFonts w:ascii="仿宋" w:hAnsi="仿宋" w:eastAsia="仿宋"/>
                <w:sz w:val="24"/>
              </w:rPr>
              <w:t>报价得分=</w:t>
            </w:r>
            <w:r>
              <w:rPr>
                <w:rFonts w:hint="eastAsia" w:ascii="仿宋" w:hAnsi="仿宋" w:eastAsia="仿宋"/>
                <w:sz w:val="24"/>
              </w:rPr>
              <w:t>（评分</w:t>
            </w:r>
            <w:r>
              <w:rPr>
                <w:rFonts w:ascii="仿宋" w:hAnsi="仿宋" w:eastAsia="仿宋"/>
                <w:sz w:val="24"/>
              </w:rPr>
              <w:t>基准价/</w:t>
            </w:r>
            <w:r>
              <w:rPr>
                <w:rFonts w:hint="eastAsia" w:ascii="仿宋" w:hAnsi="仿宋" w:eastAsia="仿宋"/>
                <w:sz w:val="24"/>
              </w:rPr>
              <w:t>采</w:t>
            </w:r>
            <w:r>
              <w:rPr>
                <w:rFonts w:ascii="仿宋" w:hAnsi="仿宋" w:eastAsia="仿宋"/>
                <w:sz w:val="24"/>
              </w:rPr>
              <w:t>购报价）*</w:t>
            </w:r>
            <w:r>
              <w:rPr>
                <w:rFonts w:hint="eastAsia" w:ascii="仿宋" w:hAnsi="仿宋" w:eastAsia="仿宋"/>
                <w:sz w:val="24"/>
              </w:rPr>
              <w:t>10。</w:t>
            </w:r>
          </w:p>
          <w:p>
            <w:pPr>
              <w:spacing w:before="156" w:beforeLines="50"/>
              <w:rPr>
                <w:rFonts w:ascii="仿宋" w:hAnsi="仿宋" w:eastAsia="仿宋"/>
                <w:sz w:val="24"/>
              </w:rPr>
            </w:pPr>
            <w:r>
              <w:rPr>
                <w:rFonts w:ascii="仿宋" w:hAnsi="仿宋" w:eastAsia="仿宋"/>
                <w:sz w:val="24"/>
              </w:rPr>
              <w:t>满足采购文件要求且采购</w:t>
            </w:r>
            <w:r>
              <w:rPr>
                <w:rFonts w:hint="eastAsia" w:ascii="仿宋" w:hAnsi="仿宋" w:eastAsia="仿宋"/>
                <w:sz w:val="24"/>
              </w:rPr>
              <w:t>报价</w:t>
            </w:r>
            <w:r>
              <w:rPr>
                <w:rFonts w:ascii="仿宋" w:hAnsi="仿宋" w:eastAsia="仿宋"/>
                <w:sz w:val="24"/>
              </w:rPr>
              <w:t>最低</w:t>
            </w:r>
            <w:r>
              <w:rPr>
                <w:rFonts w:hint="eastAsia" w:ascii="仿宋" w:hAnsi="仿宋" w:eastAsia="仿宋"/>
                <w:sz w:val="24"/>
              </w:rPr>
              <w:t>的价格</w:t>
            </w:r>
            <w:r>
              <w:rPr>
                <w:rFonts w:ascii="仿宋" w:hAnsi="仿宋" w:eastAsia="仿宋"/>
                <w:sz w:val="24"/>
              </w:rPr>
              <w:t>作为</w:t>
            </w:r>
            <w:r>
              <w:rPr>
                <w:rFonts w:hint="eastAsia" w:ascii="仿宋" w:hAnsi="仿宋" w:eastAsia="仿宋"/>
                <w:sz w:val="24"/>
              </w:rPr>
              <w:t>评分</w:t>
            </w:r>
            <w:r>
              <w:rPr>
                <w:rFonts w:ascii="仿宋" w:hAnsi="仿宋" w:eastAsia="仿宋"/>
                <w:sz w:val="24"/>
              </w:rPr>
              <w:t>基准价。</w:t>
            </w:r>
          </w:p>
        </w:tc>
        <w:tc>
          <w:tcPr>
            <w:tcW w:w="1410" w:type="dxa"/>
            <w:tcBorders>
              <w:top w:val="single" w:color="auto" w:sz="6" w:space="0"/>
              <w:left w:val="single" w:color="auto" w:sz="4" w:space="0"/>
              <w:bottom w:val="single" w:color="auto" w:sz="6" w:space="0"/>
              <w:right w:val="single" w:color="auto" w:sz="4" w:space="0"/>
            </w:tcBorders>
          </w:tcPr>
          <w:p>
            <w:pPr>
              <w:spacing w:before="156"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704" w:type="dxa"/>
            <w:tcBorders>
              <w:top w:val="single" w:color="auto" w:sz="6" w:space="0"/>
              <w:left w:val="single" w:color="auto" w:sz="4" w:space="0"/>
              <w:bottom w:val="single" w:color="auto" w:sz="6" w:space="0"/>
              <w:right w:val="single" w:color="auto" w:sz="6" w:space="0"/>
            </w:tcBorders>
            <w:vAlign w:val="center"/>
          </w:tcPr>
          <w:p>
            <w:pPr>
              <w:spacing w:before="156" w:beforeLines="50"/>
              <w:jc w:val="center"/>
              <w:rPr>
                <w:rFonts w:ascii="仿宋" w:hAnsi="仿宋" w:eastAsia="仿宋"/>
                <w:sz w:val="24"/>
              </w:rPr>
            </w:pPr>
            <w:r>
              <w:rPr>
                <w:rFonts w:hint="eastAsia" w:ascii="仿宋" w:hAnsi="仿宋" w:eastAsia="仿宋"/>
                <w:sz w:val="24"/>
              </w:rPr>
              <w:t>2</w:t>
            </w:r>
          </w:p>
        </w:tc>
        <w:tc>
          <w:tcPr>
            <w:tcW w:w="1320"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仿宋" w:hAnsi="仿宋" w:eastAsia="仿宋"/>
                <w:sz w:val="24"/>
              </w:rPr>
            </w:pPr>
            <w:r>
              <w:rPr>
                <w:rFonts w:hint="eastAsia" w:ascii="仿宋" w:hAnsi="仿宋" w:eastAsia="仿宋"/>
                <w:sz w:val="24"/>
              </w:rPr>
              <w:t>供应</w:t>
            </w:r>
            <w:r>
              <w:rPr>
                <w:rFonts w:ascii="仿宋" w:hAnsi="仿宋" w:eastAsia="仿宋"/>
                <w:sz w:val="24"/>
              </w:rPr>
              <w:t>商资质</w:t>
            </w:r>
          </w:p>
        </w:tc>
        <w:tc>
          <w:tcPr>
            <w:tcW w:w="810"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仿宋" w:hAnsi="仿宋" w:eastAsia="仿宋"/>
                <w:sz w:val="24"/>
              </w:rPr>
            </w:pPr>
            <w:r>
              <w:rPr>
                <w:rFonts w:ascii="仿宋" w:hAnsi="仿宋" w:eastAsia="仿宋"/>
                <w:sz w:val="24"/>
              </w:rPr>
              <w:t>0-</w:t>
            </w:r>
            <w:r>
              <w:rPr>
                <w:rFonts w:hint="eastAsia" w:ascii="仿宋" w:hAnsi="仿宋" w:eastAsia="仿宋"/>
                <w:sz w:val="24"/>
              </w:rPr>
              <w:t>1</w:t>
            </w:r>
            <w:r>
              <w:rPr>
                <w:rFonts w:ascii="仿宋" w:hAnsi="仿宋" w:eastAsia="仿宋"/>
                <w:sz w:val="24"/>
              </w:rPr>
              <w:t>5</w:t>
            </w:r>
          </w:p>
        </w:tc>
        <w:tc>
          <w:tcPr>
            <w:tcW w:w="4700" w:type="dxa"/>
            <w:tcBorders>
              <w:top w:val="single" w:color="auto" w:sz="6" w:space="0"/>
              <w:left w:val="single" w:color="auto" w:sz="6" w:space="0"/>
              <w:bottom w:val="single" w:color="auto" w:sz="6" w:space="0"/>
              <w:right w:val="single" w:color="auto" w:sz="4" w:space="0"/>
            </w:tcBorders>
          </w:tcPr>
          <w:p>
            <w:pPr>
              <w:spacing w:before="156" w:beforeLines="5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是否为高新技术企业，是得5分，不是得0分。</w:t>
            </w:r>
          </w:p>
          <w:p>
            <w:pPr>
              <w:spacing w:before="156" w:beforeLines="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是否拥有信息安全管理体系认证证书（覆盖的范围应包含计算机应用软件开发及运维服务）。有得5分，没有得0分。</w:t>
            </w:r>
          </w:p>
          <w:p>
            <w:pPr>
              <w:spacing w:before="156" w:beforeLines="5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是否拥有质量管理体系认证证书（覆盖的范围应包含计算机应用软件开发及运维服务）。有得5分，没有得0分。</w:t>
            </w:r>
          </w:p>
        </w:tc>
        <w:tc>
          <w:tcPr>
            <w:tcW w:w="1410" w:type="dxa"/>
            <w:tcBorders>
              <w:top w:val="single" w:color="auto" w:sz="6" w:space="0"/>
              <w:left w:val="single" w:color="auto" w:sz="4" w:space="0"/>
              <w:bottom w:val="single" w:color="auto" w:sz="6" w:space="0"/>
              <w:right w:val="single" w:color="auto" w:sz="4" w:space="0"/>
            </w:tcBorders>
          </w:tcPr>
          <w:p>
            <w:pPr>
              <w:spacing w:before="156"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704" w:type="dxa"/>
            <w:tcBorders>
              <w:top w:val="single" w:color="auto" w:sz="6" w:space="0"/>
              <w:left w:val="single" w:color="auto" w:sz="4" w:space="0"/>
              <w:bottom w:val="single" w:color="auto" w:sz="6" w:space="0"/>
              <w:right w:val="single" w:color="auto" w:sz="6" w:space="0"/>
            </w:tcBorders>
            <w:vAlign w:val="center"/>
          </w:tcPr>
          <w:p>
            <w:pPr>
              <w:spacing w:before="156" w:beforeLines="50"/>
              <w:jc w:val="center"/>
              <w:rPr>
                <w:rFonts w:ascii="仿宋" w:hAnsi="仿宋" w:eastAsia="仿宋" w:cs="Arial"/>
                <w:sz w:val="24"/>
              </w:rPr>
            </w:pPr>
            <w:r>
              <w:rPr>
                <w:rFonts w:ascii="仿宋" w:hAnsi="仿宋" w:eastAsia="仿宋"/>
                <w:sz w:val="24"/>
              </w:rPr>
              <w:t>3</w:t>
            </w:r>
          </w:p>
        </w:tc>
        <w:tc>
          <w:tcPr>
            <w:tcW w:w="1320"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仿宋" w:hAnsi="仿宋" w:eastAsia="仿宋" w:cs="Arial"/>
                <w:sz w:val="24"/>
              </w:rPr>
            </w:pPr>
            <w:r>
              <w:rPr>
                <w:rFonts w:hint="eastAsia" w:ascii="仿宋" w:hAnsi="仿宋" w:eastAsia="仿宋"/>
                <w:sz w:val="24"/>
              </w:rPr>
              <w:t>同类项目经验</w:t>
            </w:r>
          </w:p>
        </w:tc>
        <w:tc>
          <w:tcPr>
            <w:tcW w:w="810"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仿宋" w:hAnsi="仿宋" w:eastAsia="仿宋" w:cs="Arial"/>
                <w:sz w:val="24"/>
              </w:rPr>
            </w:pPr>
            <w:r>
              <w:rPr>
                <w:rFonts w:ascii="仿宋" w:hAnsi="仿宋" w:eastAsia="仿宋"/>
                <w:sz w:val="24"/>
              </w:rPr>
              <w:t>0-</w:t>
            </w:r>
            <w:r>
              <w:rPr>
                <w:rFonts w:hint="eastAsia" w:ascii="仿宋" w:hAnsi="仿宋" w:eastAsia="仿宋"/>
                <w:sz w:val="24"/>
              </w:rPr>
              <w:t>1</w:t>
            </w:r>
            <w:r>
              <w:rPr>
                <w:rFonts w:ascii="仿宋" w:hAnsi="仿宋" w:eastAsia="仿宋"/>
                <w:sz w:val="24"/>
              </w:rPr>
              <w:t>5</w:t>
            </w:r>
          </w:p>
        </w:tc>
        <w:tc>
          <w:tcPr>
            <w:tcW w:w="4700" w:type="dxa"/>
            <w:tcBorders>
              <w:top w:val="single" w:color="auto" w:sz="6" w:space="0"/>
              <w:left w:val="single" w:color="auto" w:sz="6" w:space="0"/>
              <w:bottom w:val="single" w:color="auto" w:sz="6" w:space="0"/>
              <w:right w:val="single" w:color="auto" w:sz="4" w:space="0"/>
            </w:tcBorders>
          </w:tcPr>
          <w:p>
            <w:pPr>
              <w:spacing w:before="156" w:beforeLines="50"/>
              <w:rPr>
                <w:rFonts w:ascii="仿宋" w:hAnsi="仿宋" w:eastAsia="仿宋"/>
                <w:sz w:val="24"/>
              </w:rPr>
            </w:pPr>
            <w:r>
              <w:rPr>
                <w:rFonts w:hint="eastAsia" w:ascii="仿宋" w:hAnsi="仿宋" w:eastAsia="仿宋"/>
                <w:sz w:val="24"/>
              </w:rPr>
              <w:t>提供3年内同类项目业绩，提供1份得3分，最高</w:t>
            </w:r>
            <w:r>
              <w:rPr>
                <w:rFonts w:ascii="仿宋" w:hAnsi="仿宋" w:eastAsia="仿宋"/>
                <w:sz w:val="24"/>
              </w:rPr>
              <w:t>15</w:t>
            </w:r>
            <w:r>
              <w:rPr>
                <w:rFonts w:hint="eastAsia" w:ascii="仿宋" w:hAnsi="仿宋" w:eastAsia="仿宋"/>
                <w:sz w:val="24"/>
              </w:rPr>
              <w:t>分。</w:t>
            </w:r>
          </w:p>
          <w:p>
            <w:pPr>
              <w:spacing w:before="156" w:beforeLines="50"/>
              <w:rPr>
                <w:rFonts w:ascii="仿宋" w:hAnsi="仿宋" w:eastAsia="仿宋" w:cs="Arial"/>
                <w:sz w:val="24"/>
              </w:rPr>
            </w:pPr>
            <w:r>
              <w:rPr>
                <w:rFonts w:hint="eastAsia" w:ascii="仿宋" w:hAnsi="仿宋" w:eastAsia="仿宋"/>
                <w:sz w:val="24"/>
              </w:rPr>
              <w:t>需提供合同关键页或中标通知书的复印件。同类业绩是标的额10万元及以上的信息系统运维类项目。</w:t>
            </w:r>
          </w:p>
        </w:tc>
        <w:tc>
          <w:tcPr>
            <w:tcW w:w="1410" w:type="dxa"/>
            <w:tcBorders>
              <w:top w:val="single" w:color="auto" w:sz="6" w:space="0"/>
              <w:left w:val="single" w:color="auto" w:sz="4" w:space="0"/>
              <w:bottom w:val="single" w:color="auto" w:sz="6" w:space="0"/>
              <w:right w:val="single" w:color="auto" w:sz="4" w:space="0"/>
            </w:tcBorders>
          </w:tcPr>
          <w:p>
            <w:pPr>
              <w:spacing w:before="156"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704" w:type="dxa"/>
            <w:tcBorders>
              <w:top w:val="single" w:color="auto" w:sz="6" w:space="0"/>
              <w:left w:val="single" w:color="auto" w:sz="4" w:space="0"/>
              <w:bottom w:val="single" w:color="auto" w:sz="6" w:space="0"/>
              <w:right w:val="single" w:color="auto" w:sz="6" w:space="0"/>
            </w:tcBorders>
            <w:vAlign w:val="center"/>
          </w:tcPr>
          <w:p>
            <w:pPr>
              <w:spacing w:before="156" w:beforeLines="50"/>
              <w:jc w:val="center"/>
              <w:rPr>
                <w:rFonts w:ascii="仿宋" w:hAnsi="仿宋" w:eastAsia="仿宋" w:cs="Arial"/>
                <w:sz w:val="24"/>
              </w:rPr>
            </w:pPr>
            <w:r>
              <w:rPr>
                <w:rFonts w:hint="eastAsia" w:ascii="仿宋" w:hAnsi="仿宋" w:eastAsia="仿宋"/>
                <w:sz w:val="24"/>
              </w:rPr>
              <w:t>3</w:t>
            </w:r>
          </w:p>
        </w:tc>
        <w:tc>
          <w:tcPr>
            <w:tcW w:w="1320"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仿宋" w:hAnsi="仿宋" w:eastAsia="仿宋" w:cs="Arial"/>
                <w:sz w:val="24"/>
              </w:rPr>
            </w:pPr>
            <w:r>
              <w:rPr>
                <w:rFonts w:hint="eastAsia" w:ascii="仿宋" w:hAnsi="仿宋" w:eastAsia="仿宋"/>
                <w:sz w:val="24"/>
              </w:rPr>
              <w:t>项目运维团队人员资质</w:t>
            </w:r>
          </w:p>
        </w:tc>
        <w:tc>
          <w:tcPr>
            <w:tcW w:w="810" w:type="dxa"/>
            <w:tcBorders>
              <w:top w:val="single" w:color="auto" w:sz="6" w:space="0"/>
              <w:left w:val="single" w:color="auto" w:sz="6" w:space="0"/>
              <w:bottom w:val="single" w:color="auto" w:sz="6" w:space="0"/>
              <w:right w:val="single" w:color="auto" w:sz="6" w:space="0"/>
            </w:tcBorders>
            <w:vAlign w:val="center"/>
          </w:tcPr>
          <w:p>
            <w:pPr>
              <w:spacing w:before="156" w:beforeLines="50"/>
              <w:jc w:val="center"/>
              <w:rPr>
                <w:rFonts w:ascii="仿宋" w:hAnsi="仿宋" w:eastAsia="仿宋" w:cs="Arial"/>
                <w:sz w:val="24"/>
              </w:rPr>
            </w:pPr>
            <w:r>
              <w:rPr>
                <w:rFonts w:ascii="仿宋" w:hAnsi="仿宋" w:eastAsia="仿宋"/>
                <w:sz w:val="24"/>
              </w:rPr>
              <w:t>0-10</w:t>
            </w:r>
          </w:p>
        </w:tc>
        <w:tc>
          <w:tcPr>
            <w:tcW w:w="4700" w:type="dxa"/>
            <w:tcBorders>
              <w:top w:val="single" w:color="auto" w:sz="6" w:space="0"/>
              <w:left w:val="single" w:color="auto" w:sz="6" w:space="0"/>
              <w:bottom w:val="single" w:color="auto" w:sz="6" w:space="0"/>
              <w:right w:val="single" w:color="auto" w:sz="4" w:space="0"/>
            </w:tcBorders>
          </w:tcPr>
          <w:p>
            <w:pPr>
              <w:spacing w:before="156" w:beforeLines="50" w:line="240" w:lineRule="auto"/>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项目经理应同时具备系统集成项目管理工程师和PMP证书，得</w:t>
            </w:r>
            <w:r>
              <w:rPr>
                <w:rFonts w:ascii="仿宋" w:hAnsi="仿宋" w:eastAsia="仿宋"/>
                <w:sz w:val="24"/>
              </w:rPr>
              <w:t>4</w:t>
            </w:r>
            <w:r>
              <w:rPr>
                <w:rFonts w:hint="eastAsia" w:ascii="仿宋" w:hAnsi="仿宋" w:eastAsia="仿宋"/>
                <w:sz w:val="24"/>
              </w:rPr>
              <w:t>分，没有不得分。</w:t>
            </w:r>
          </w:p>
          <w:p>
            <w:pPr>
              <w:spacing w:before="156" w:beforeLines="50" w:line="240" w:lineRule="auto"/>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项目成员名单中每提供一个系统集成项目管理工程师、PMP证书</w:t>
            </w:r>
            <w:r>
              <w:rPr>
                <w:rFonts w:ascii="仿宋" w:hAnsi="仿宋" w:eastAsia="仿宋"/>
                <w:sz w:val="24"/>
              </w:rPr>
              <w:t>或 ITIL</w:t>
            </w:r>
            <w:r>
              <w:rPr>
                <w:rFonts w:hint="eastAsia" w:ascii="仿宋" w:hAnsi="仿宋" w:eastAsia="仿宋"/>
                <w:sz w:val="24"/>
              </w:rPr>
              <w:t>证书加</w:t>
            </w:r>
            <w:r>
              <w:rPr>
                <w:rFonts w:ascii="仿宋" w:hAnsi="仿宋" w:eastAsia="仿宋"/>
                <w:sz w:val="24"/>
              </w:rPr>
              <w:t>2</w:t>
            </w:r>
            <w:r>
              <w:rPr>
                <w:rFonts w:hint="eastAsia" w:ascii="仿宋" w:hAnsi="仿宋" w:eastAsia="仿宋"/>
                <w:sz w:val="24"/>
              </w:rPr>
              <w:t>分，最多加</w:t>
            </w:r>
            <w:r>
              <w:rPr>
                <w:rFonts w:ascii="仿宋" w:hAnsi="仿宋" w:eastAsia="仿宋"/>
                <w:sz w:val="24"/>
              </w:rPr>
              <w:t>6</w:t>
            </w:r>
            <w:r>
              <w:rPr>
                <w:rFonts w:hint="eastAsia" w:ascii="仿宋" w:hAnsi="仿宋" w:eastAsia="仿宋"/>
                <w:sz w:val="24"/>
              </w:rPr>
              <w:t>分。</w:t>
            </w:r>
          </w:p>
        </w:tc>
        <w:tc>
          <w:tcPr>
            <w:tcW w:w="1410" w:type="dxa"/>
            <w:tcBorders>
              <w:top w:val="single" w:color="auto" w:sz="6" w:space="0"/>
              <w:left w:val="single" w:color="auto" w:sz="4" w:space="0"/>
              <w:bottom w:val="single" w:color="auto" w:sz="6"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仿宋" w:hAnsi="仿宋" w:eastAsia="仿宋" w:cs="Arial"/>
                <w:sz w:val="24"/>
              </w:rPr>
            </w:pPr>
            <w:r>
              <w:rPr>
                <w:rFonts w:hint="eastAsia" w:ascii="仿宋" w:hAnsi="仿宋" w:eastAsia="仿宋"/>
                <w:sz w:val="24"/>
              </w:rPr>
              <w:t>5</w:t>
            </w:r>
          </w:p>
        </w:tc>
        <w:tc>
          <w:tcPr>
            <w:tcW w:w="1320" w:type="dxa"/>
            <w:tcBorders>
              <w:top w:val="single" w:color="auto" w:sz="4" w:space="0"/>
              <w:left w:val="nil"/>
              <w:bottom w:val="single" w:color="auto" w:sz="4" w:space="0"/>
              <w:right w:val="single" w:color="auto" w:sz="4" w:space="0"/>
            </w:tcBorders>
            <w:vAlign w:val="center"/>
          </w:tcPr>
          <w:p>
            <w:pPr>
              <w:spacing w:before="156" w:beforeLines="50"/>
              <w:jc w:val="center"/>
              <w:rPr>
                <w:rFonts w:ascii="仿宋" w:hAnsi="仿宋" w:eastAsia="仿宋" w:cs="Arial"/>
                <w:sz w:val="24"/>
              </w:rPr>
            </w:pPr>
            <w:r>
              <w:rPr>
                <w:rFonts w:hint="eastAsia" w:ascii="仿宋" w:hAnsi="仿宋" w:eastAsia="仿宋"/>
                <w:sz w:val="24"/>
              </w:rPr>
              <w:t>运维服务方案</w:t>
            </w:r>
          </w:p>
        </w:tc>
        <w:tc>
          <w:tcPr>
            <w:tcW w:w="810" w:type="dxa"/>
            <w:tcBorders>
              <w:top w:val="single" w:color="auto" w:sz="4" w:space="0"/>
              <w:left w:val="nil"/>
              <w:bottom w:val="single" w:color="auto" w:sz="4" w:space="0"/>
              <w:right w:val="single" w:color="auto" w:sz="4" w:space="0"/>
            </w:tcBorders>
            <w:vAlign w:val="center"/>
          </w:tcPr>
          <w:p>
            <w:pPr>
              <w:spacing w:before="156" w:beforeLines="50"/>
              <w:jc w:val="center"/>
              <w:rPr>
                <w:rFonts w:ascii="仿宋" w:hAnsi="仿宋" w:eastAsia="仿宋" w:cs="Arial"/>
                <w:sz w:val="24"/>
              </w:rPr>
            </w:pPr>
            <w:r>
              <w:rPr>
                <w:rFonts w:ascii="仿宋" w:hAnsi="仿宋" w:eastAsia="仿宋"/>
                <w:sz w:val="24"/>
              </w:rPr>
              <w:t>0-50</w:t>
            </w:r>
          </w:p>
        </w:tc>
        <w:tc>
          <w:tcPr>
            <w:tcW w:w="4700" w:type="dxa"/>
            <w:tcBorders>
              <w:top w:val="single" w:color="auto" w:sz="4" w:space="0"/>
              <w:left w:val="nil"/>
              <w:bottom w:val="single" w:color="auto" w:sz="4" w:space="0"/>
              <w:right w:val="single" w:color="auto" w:sz="4" w:space="0"/>
            </w:tcBorders>
          </w:tcPr>
          <w:p>
            <w:pPr>
              <w:spacing w:before="156" w:beforeLines="50" w:line="240" w:lineRule="auto"/>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运维服务方案完全符合评定文件要求，整体运维内容非常合理、覆盖全面、逻辑清晰的，得4</w:t>
            </w:r>
            <w:r>
              <w:rPr>
                <w:rFonts w:ascii="仿宋" w:hAnsi="仿宋" w:eastAsia="仿宋"/>
                <w:sz w:val="24"/>
              </w:rPr>
              <w:t>0-50</w:t>
            </w:r>
            <w:r>
              <w:rPr>
                <w:rFonts w:hint="eastAsia" w:ascii="仿宋" w:hAnsi="仿宋" w:eastAsia="仿宋"/>
                <w:sz w:val="24"/>
              </w:rPr>
              <w:t>分。</w:t>
            </w:r>
          </w:p>
          <w:p>
            <w:pPr>
              <w:spacing w:before="156" w:beforeLines="50" w:line="240" w:lineRule="auto"/>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运维服务方案基本符合评定文件要求，整体运维内容比较合理，覆盖比较全面，逻辑较为清晰的，得</w:t>
            </w:r>
            <w:r>
              <w:rPr>
                <w:rFonts w:ascii="仿宋" w:hAnsi="仿宋" w:eastAsia="仿宋"/>
                <w:sz w:val="24"/>
              </w:rPr>
              <w:t>20-40</w:t>
            </w:r>
            <w:r>
              <w:rPr>
                <w:rFonts w:hint="eastAsia" w:ascii="仿宋" w:hAnsi="仿宋" w:eastAsia="仿宋"/>
                <w:sz w:val="24"/>
              </w:rPr>
              <w:t>分。</w:t>
            </w:r>
          </w:p>
          <w:p>
            <w:pPr>
              <w:spacing w:before="156" w:beforeLines="50" w:line="240" w:lineRule="auto"/>
              <w:rPr>
                <w:rFonts w:ascii="仿宋" w:hAnsi="仿宋" w:eastAsia="仿宋"/>
                <w:sz w:val="24"/>
              </w:rPr>
            </w:pPr>
            <w:r>
              <w:rPr>
                <w:rFonts w:ascii="仿宋" w:hAnsi="仿宋" w:eastAsia="仿宋"/>
                <w:sz w:val="24"/>
              </w:rPr>
              <w:t>3.</w:t>
            </w:r>
            <w:r>
              <w:rPr>
                <w:rFonts w:hint="eastAsia" w:ascii="仿宋" w:hAnsi="仿宋" w:eastAsia="仿宋"/>
                <w:sz w:val="24"/>
              </w:rPr>
              <w:t>运维服务方案部分符合评定文件要求，整体运维内容不合理，覆盖不全面，方案逻辑不清晰的，得</w:t>
            </w:r>
            <w:r>
              <w:rPr>
                <w:rFonts w:ascii="仿宋" w:hAnsi="仿宋" w:eastAsia="仿宋"/>
                <w:sz w:val="24"/>
              </w:rPr>
              <w:t>0-20</w:t>
            </w:r>
            <w:r>
              <w:rPr>
                <w:rFonts w:hint="eastAsia" w:ascii="仿宋" w:hAnsi="仿宋" w:eastAsia="仿宋"/>
                <w:sz w:val="24"/>
              </w:rPr>
              <w:t>分。</w:t>
            </w:r>
          </w:p>
        </w:tc>
        <w:tc>
          <w:tcPr>
            <w:tcW w:w="1410"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7534" w:type="dxa"/>
            <w:gridSpan w:val="4"/>
            <w:vAlign w:val="center"/>
          </w:tcPr>
          <w:p>
            <w:pPr>
              <w:adjustRightInd w:val="0"/>
              <w:snapToGrid w:val="0"/>
              <w:spacing w:line="276" w:lineRule="auto"/>
              <w:ind w:left="6" w:leftChars="3"/>
              <w:jc w:val="center"/>
              <w:rPr>
                <w:rFonts w:ascii="仿宋" w:hAnsi="仿宋" w:eastAsia="仿宋"/>
                <w:sz w:val="24"/>
              </w:rPr>
            </w:pPr>
            <w:r>
              <w:rPr>
                <w:rFonts w:hint="eastAsia" w:ascii="仿宋" w:hAnsi="仿宋" w:eastAsia="仿宋"/>
                <w:sz w:val="24"/>
              </w:rPr>
              <w:t>合计得分</w:t>
            </w:r>
          </w:p>
        </w:tc>
        <w:tc>
          <w:tcPr>
            <w:tcW w:w="1410" w:type="dxa"/>
            <w:vAlign w:val="center"/>
          </w:tcPr>
          <w:p>
            <w:pPr>
              <w:adjustRightInd w:val="0"/>
              <w:snapToGrid w:val="0"/>
              <w:spacing w:line="276" w:lineRule="auto"/>
              <w:ind w:left="5" w:hanging="4" w:hangingChars="2"/>
              <w:rPr>
                <w:rFonts w:ascii="仿宋" w:hAnsi="仿宋" w:eastAsia="仿宋"/>
                <w:sz w:val="24"/>
              </w:rPr>
            </w:pPr>
          </w:p>
        </w:tc>
      </w:tr>
    </w:tbl>
    <w:p>
      <w:pPr>
        <w:widowControl/>
        <w:jc w:val="left"/>
        <w:rPr>
          <w:rFonts w:ascii="仿宋_GB2312" w:hAnsi="宋体" w:eastAsia="仿宋_GB2312" w:cs="宋体"/>
          <w:color w:val="000000"/>
          <w:kern w:val="0"/>
          <w:sz w:val="22"/>
          <w:szCs w:val="22"/>
        </w:rPr>
      </w:pP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以上资质和业绩文件，需提供复印件并加盖公章</w:t>
      </w:r>
    </w:p>
    <w:p>
      <w:pPr>
        <w:widowControl/>
        <w:jc w:val="left"/>
        <w:rPr>
          <w:rFonts w:ascii="仿宋_GB2312" w:hAnsi="宋体" w:eastAsia="仿宋_GB2312"/>
          <w:b/>
          <w:sz w:val="24"/>
        </w:rPr>
      </w:pPr>
    </w:p>
    <w:p>
      <w:pPr>
        <w:tabs>
          <w:tab w:val="left" w:pos="315"/>
        </w:tabs>
        <w:adjustRightInd w:val="0"/>
        <w:snapToGrid w:val="0"/>
        <w:spacing w:line="360" w:lineRule="auto"/>
        <w:rPr>
          <w:rFonts w:ascii="仿宋_GB2312" w:hAnsi="宋体" w:eastAsia="仿宋_GB2312"/>
          <w:b/>
          <w:sz w:val="24"/>
        </w:rPr>
      </w:pPr>
      <w:r>
        <w:rPr>
          <w:rFonts w:hint="eastAsia" w:ascii="仿宋_GB2312" w:hAnsi="宋体" w:eastAsia="仿宋_GB2312"/>
          <w:b/>
          <w:sz w:val="24"/>
        </w:rPr>
        <w:t>七、签订合同</w:t>
      </w:r>
    </w:p>
    <w:p>
      <w:pPr>
        <w:tabs>
          <w:tab w:val="left" w:pos="630"/>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1.成交供应商应在规定时间内与采购单位签订合同。</w:t>
      </w:r>
    </w:p>
    <w:p>
      <w:pPr>
        <w:tabs>
          <w:tab w:val="left" w:pos="630"/>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2.成交供应商应在规定时间内提供货物（服务）。</w:t>
      </w:r>
    </w:p>
    <w:p>
      <w:pPr>
        <w:tabs>
          <w:tab w:val="left" w:pos="630"/>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 除不可抗力等因素外，宣布评定采购结果后，成交供应商拒绝签订政府采购合同的或者不按评定承诺提供货物（服务）的，取消评定结果并重新开展评定程序选取供应商。对于成交供应商的违约行为对我中心造成损失的，我中心有权向人民法院提起诉讼追究其违约责任。</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br w:type="page"/>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附件目录</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附件1  项目需求</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附件2  参与评定采购报名回执</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附件3  参与评定供应商一览表</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附件4  法定代表人授权书</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附件5  评定承诺书</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附件6  评定供应商签到表</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附件7  评定结果确认表</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附件8  退出评定确认表</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附件9  成交通知书</w:t>
      </w: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附件10 项目取消通知书</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br w:type="page"/>
      </w:r>
    </w:p>
    <w:p>
      <w:pPr>
        <w:tabs>
          <w:tab w:val="left" w:pos="630"/>
        </w:tabs>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附件1 项目需求</w:t>
      </w:r>
    </w:p>
    <w:p>
      <w:pPr>
        <w:pStyle w:val="2"/>
        <w:rPr>
          <w:rFonts w:ascii="仿宋_GB2312" w:eastAsia="仿宋_GB2312"/>
        </w:rPr>
      </w:pPr>
      <w:bookmarkStart w:id="10" w:name="_Toc513476545"/>
      <w:r>
        <w:rPr>
          <w:rFonts w:hint="eastAsia" w:ascii="仿宋_GB2312" w:eastAsia="仿宋_GB2312"/>
        </w:rPr>
        <w:t>（一）运维服务对象</w:t>
      </w:r>
      <w:bookmarkEnd w:id="10"/>
    </w:p>
    <w:p>
      <w:pPr>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海淀区人力资源公共服务中心业务系统包含三个子系统，分别是职业介绍服务平台-中心自助服务系统、职业介绍大厅业务办理系统、海淀区人力资源公共服务中心微信公众号。</w:t>
      </w:r>
    </w:p>
    <w:p>
      <w:pPr>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系统部署环境：海淀区政务云平台。</w:t>
      </w:r>
    </w:p>
    <w:p>
      <w:pPr>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基础环境资源：</w:t>
      </w:r>
      <w:r>
        <w:rPr>
          <w:rFonts w:ascii="仿宋_GB2312" w:hAnsi="仿宋" w:eastAsia="仿宋_GB2312"/>
          <w:color w:val="000000" w:themeColor="text1"/>
          <w:sz w:val="28"/>
          <w:szCs w:val="28"/>
          <w14:textFill>
            <w14:solidFill>
              <w14:schemeClr w14:val="tx1"/>
            </w14:solidFill>
          </w14:textFill>
        </w:rPr>
        <w:t>2</w:t>
      </w:r>
      <w:r>
        <w:rPr>
          <w:rFonts w:hint="eastAsia" w:ascii="仿宋_GB2312" w:hAnsi="仿宋" w:eastAsia="仿宋_GB2312"/>
          <w:color w:val="000000" w:themeColor="text1"/>
          <w:sz w:val="28"/>
          <w:szCs w:val="28"/>
          <w14:textFill>
            <w14:solidFill>
              <w14:schemeClr w14:val="tx1"/>
            </w14:solidFill>
          </w14:textFill>
        </w:rPr>
        <w:t>台云服务器、2个RDS云数据库资源、2个应用中间件。</w:t>
      </w:r>
    </w:p>
    <w:p>
      <w:pPr>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由区政务云平台提供基础设施（云服务器、RDS数据库、网络环境）服务，应用系统和操作系统的安全加固、安全检测、性能优化等服务均不提供。</w:t>
      </w:r>
    </w:p>
    <w:p>
      <w:pPr>
        <w:pStyle w:val="2"/>
        <w:numPr>
          <w:ilvl w:val="0"/>
          <w:numId w:val="1"/>
        </w:numPr>
        <w:rPr>
          <w:rFonts w:ascii="仿宋_GB2312" w:eastAsia="仿宋_GB2312"/>
        </w:rPr>
      </w:pPr>
      <w:bookmarkStart w:id="11" w:name="_Toc513476546"/>
      <w:r>
        <w:rPr>
          <w:rFonts w:hint="eastAsia" w:ascii="仿宋_GB2312" w:eastAsia="仿宋_GB2312"/>
        </w:rPr>
        <w:t>运维内容</w:t>
      </w:r>
      <w:bookmarkEnd w:id="11"/>
    </w:p>
    <w:p>
      <w:pPr>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确保人力资源公共服务中心业务系统在202</w:t>
      </w:r>
      <w:r>
        <w:rPr>
          <w:rFonts w:hint="eastAsia" w:ascii="仿宋_GB2312" w:hAnsi="仿宋" w:eastAsia="仿宋_GB2312"/>
          <w:color w:val="000000" w:themeColor="text1"/>
          <w:sz w:val="28"/>
          <w:szCs w:val="28"/>
          <w:lang w:val="en-US" w:eastAsia="zh-CN"/>
          <w14:textFill>
            <w14:solidFill>
              <w14:schemeClr w14:val="tx1"/>
            </w14:solidFill>
          </w14:textFill>
        </w:rPr>
        <w:t>3</w:t>
      </w:r>
      <w:r>
        <w:rPr>
          <w:rFonts w:hint="eastAsia" w:ascii="仿宋_GB2312" w:hAnsi="仿宋" w:eastAsia="仿宋_GB2312"/>
          <w:color w:val="000000" w:themeColor="text1"/>
          <w:sz w:val="28"/>
          <w:szCs w:val="28"/>
          <w14:textFill>
            <w14:solidFill>
              <w14:schemeClr w14:val="tx1"/>
            </w14:solidFill>
          </w14:textFill>
        </w:rPr>
        <w:t>年11月1日—202</w:t>
      </w:r>
      <w:r>
        <w:rPr>
          <w:rFonts w:hint="eastAsia" w:ascii="仿宋_GB2312" w:hAnsi="仿宋" w:eastAsia="仿宋_GB2312"/>
          <w:color w:val="000000" w:themeColor="text1"/>
          <w:sz w:val="28"/>
          <w:szCs w:val="28"/>
          <w:lang w:val="en-US" w:eastAsia="zh-CN"/>
          <w14:textFill>
            <w14:solidFill>
              <w14:schemeClr w14:val="tx1"/>
            </w14:solidFill>
          </w14:textFill>
        </w:rPr>
        <w:t>4</w:t>
      </w:r>
      <w:r>
        <w:rPr>
          <w:rFonts w:hint="eastAsia" w:ascii="仿宋_GB2312" w:hAnsi="仿宋" w:eastAsia="仿宋_GB2312"/>
          <w:color w:val="000000" w:themeColor="text1"/>
          <w:sz w:val="28"/>
          <w:szCs w:val="28"/>
          <w14:textFill>
            <w14:solidFill>
              <w14:schemeClr w14:val="tx1"/>
            </w14:solidFill>
          </w14:textFill>
        </w:rPr>
        <w:t>年10月31日安全稳定有效运行。主要开展运维服务内容包括定期巡检、故障排除、内容维护服务：</w:t>
      </w:r>
    </w:p>
    <w:tbl>
      <w:tblPr>
        <w:tblStyle w:val="9"/>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84"/>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仿宋" w:hAnsi="仿宋" w:eastAsia="仿宋"/>
                <w:b/>
                <w:color w:val="000000"/>
                <w:sz w:val="24"/>
                <w:szCs w:val="24"/>
              </w:rPr>
            </w:pPr>
            <w:r>
              <w:rPr>
                <w:rFonts w:ascii="仿宋" w:hAnsi="仿宋" w:eastAsia="仿宋"/>
                <w:b/>
                <w:color w:val="000000"/>
                <w:sz w:val="24"/>
                <w:szCs w:val="24"/>
              </w:rPr>
              <w:t>服务种类</w:t>
            </w:r>
          </w:p>
        </w:tc>
        <w:tc>
          <w:tcPr>
            <w:tcW w:w="6597" w:type="dxa"/>
            <w:gridSpan w:val="2"/>
            <w:tcBorders>
              <w:top w:val="single" w:color="auto" w:sz="4" w:space="0"/>
              <w:left w:val="single" w:color="auto" w:sz="4" w:space="0"/>
              <w:bottom w:val="single" w:color="auto" w:sz="4" w:space="0"/>
              <w:right w:val="single" w:color="auto" w:sz="4" w:space="0"/>
            </w:tcBorders>
            <w:shd w:val="clear" w:color="auto" w:fill="BFBFBF"/>
            <w:noWrap w:val="0"/>
            <w:vAlign w:val="center"/>
          </w:tcPr>
          <w:p>
            <w:pPr>
              <w:jc w:val="center"/>
              <w:rPr>
                <w:rFonts w:ascii="仿宋" w:hAnsi="仿宋" w:eastAsia="仿宋"/>
                <w:b/>
                <w:color w:val="000000"/>
                <w:sz w:val="24"/>
                <w:szCs w:val="24"/>
              </w:rPr>
            </w:pPr>
            <w:r>
              <w:rPr>
                <w:rFonts w:ascii="仿宋" w:hAnsi="仿宋" w:eastAsia="仿宋"/>
                <w:b/>
                <w:color w:val="00000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440" w:lineRule="atLeast"/>
              <w:rPr>
                <w:rFonts w:ascii="仿宋" w:hAnsi="仿宋" w:eastAsia="仿宋"/>
                <w:color w:val="000000"/>
                <w:sz w:val="24"/>
                <w:szCs w:val="24"/>
              </w:rPr>
            </w:pPr>
            <w:r>
              <w:rPr>
                <w:rFonts w:hint="eastAsia" w:ascii="仿宋" w:hAnsi="仿宋" w:eastAsia="仿宋"/>
                <w:color w:val="000000"/>
                <w:sz w:val="24"/>
                <w:szCs w:val="24"/>
              </w:rPr>
              <w:t>定期巡检服务</w:t>
            </w:r>
          </w:p>
        </w:tc>
        <w:tc>
          <w:tcPr>
            <w:tcW w:w="1984" w:type="dxa"/>
            <w:vMerge w:val="restart"/>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1、日常巡检</w:t>
            </w: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每周</w:t>
            </w:r>
            <w:r>
              <w:rPr>
                <w:rFonts w:ascii="仿宋" w:hAnsi="仿宋" w:eastAsia="仿宋"/>
                <w:color w:val="000000"/>
                <w:sz w:val="24"/>
                <w:szCs w:val="24"/>
              </w:rPr>
              <w:t>对系统的运行情况进行巡检，确认系统可正常访问。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continue"/>
            <w:noWrap w:val="0"/>
            <w:vAlign w:val="center"/>
          </w:tcPr>
          <w:p>
            <w:pPr>
              <w:spacing w:line="440" w:lineRule="atLeast"/>
              <w:rPr>
                <w:rFonts w:ascii="仿宋" w:hAnsi="仿宋" w:eastAsia="仿宋"/>
                <w:color w:val="000000"/>
                <w:sz w:val="24"/>
                <w:szCs w:val="24"/>
              </w:rPr>
            </w:pP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2）将巡检结果记录到《日常巡检记录单》中。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restart"/>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2、数据备份</w:t>
            </w: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1）每</w:t>
            </w:r>
            <w:r>
              <w:rPr>
                <w:rFonts w:hint="eastAsia" w:ascii="仿宋" w:hAnsi="仿宋" w:eastAsia="仿宋"/>
                <w:color w:val="000000"/>
                <w:sz w:val="24"/>
                <w:szCs w:val="24"/>
              </w:rPr>
              <w:t>周</w:t>
            </w:r>
            <w:r>
              <w:rPr>
                <w:rFonts w:ascii="仿宋" w:hAnsi="仿宋" w:eastAsia="仿宋"/>
                <w:color w:val="000000"/>
                <w:sz w:val="24"/>
                <w:szCs w:val="24"/>
              </w:rPr>
              <w:t>对系统进行一次全量数据备份，将数据备份至移动硬盘中。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continue"/>
            <w:noWrap w:val="0"/>
            <w:vAlign w:val="center"/>
          </w:tcPr>
          <w:p>
            <w:pPr>
              <w:spacing w:line="440" w:lineRule="atLeast"/>
              <w:rPr>
                <w:rFonts w:ascii="仿宋" w:hAnsi="仿宋" w:eastAsia="仿宋"/>
                <w:color w:val="000000"/>
                <w:sz w:val="24"/>
                <w:szCs w:val="24"/>
              </w:rPr>
            </w:pP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2）将备份情况记录到《数据备份记录单》中。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3、垃圾数据处理</w:t>
            </w: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每周一、三、五上午9:00-11:00定时对应用服务器进行数据检查，对发现的垃圾数据（临时文件、冗余文件）进行清除。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noWrap w:val="0"/>
            <w:vAlign w:val="center"/>
          </w:tcPr>
          <w:p>
            <w:pPr>
              <w:spacing w:line="440" w:lineRule="atLeast"/>
              <w:rPr>
                <w:rFonts w:hint="eastAsia" w:ascii="仿宋" w:hAnsi="仿宋" w:eastAsia="仿宋"/>
                <w:color w:val="000000"/>
                <w:sz w:val="24"/>
                <w:szCs w:val="24"/>
              </w:rPr>
            </w:pPr>
            <w:r>
              <w:rPr>
                <w:rFonts w:ascii="仿宋" w:hAnsi="仿宋" w:eastAsia="仿宋"/>
                <w:color w:val="000000"/>
                <w:sz w:val="24"/>
                <w:szCs w:val="24"/>
              </w:rPr>
              <w:t>4、业务系统性能优化</w:t>
            </w: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包括应用性能优化、中间件性能优化、服务器性能优化，提升平台运行速度、并发数据，保障平台稳定运行。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5、</w:t>
            </w:r>
            <w:r>
              <w:rPr>
                <w:rFonts w:hint="eastAsia" w:ascii="仿宋" w:hAnsi="仿宋" w:eastAsia="仿宋"/>
                <w:color w:val="000000"/>
                <w:sz w:val="24"/>
                <w:szCs w:val="24"/>
              </w:rPr>
              <w:t>技术支持</w:t>
            </w:r>
          </w:p>
        </w:tc>
        <w:tc>
          <w:tcPr>
            <w:tcW w:w="4613" w:type="dxa"/>
            <w:noWrap w:val="0"/>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对于系统在业务办理过程中遇到问题，提供必需的技术支持服务（包括现场技术指导、远程支持（微信、电话、邮件）、业务系统功能修改的需求调研、应急处理）。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restart"/>
            <w:noWrap w:val="0"/>
            <w:vAlign w:val="center"/>
          </w:tcPr>
          <w:p>
            <w:pPr>
              <w:spacing w:line="440" w:lineRule="atLeast"/>
              <w:rPr>
                <w:rFonts w:hint="eastAsia" w:ascii="仿宋" w:hAnsi="仿宋" w:eastAsia="仿宋"/>
                <w:color w:val="000000"/>
                <w:sz w:val="24"/>
                <w:szCs w:val="24"/>
              </w:rPr>
            </w:pPr>
            <w:r>
              <w:rPr>
                <w:rFonts w:hint="eastAsia" w:ascii="仿宋" w:hAnsi="仿宋" w:eastAsia="仿宋"/>
                <w:color w:val="000000"/>
                <w:sz w:val="24"/>
                <w:szCs w:val="24"/>
              </w:rPr>
              <w:t>6、系统培训指导服务</w:t>
            </w:r>
          </w:p>
        </w:tc>
        <w:tc>
          <w:tcPr>
            <w:tcW w:w="4613" w:type="dxa"/>
            <w:noWrap w:val="0"/>
            <w:vAlign w:val="center"/>
          </w:tcPr>
          <w:p>
            <w:pPr>
              <w:spacing w:line="400" w:lineRule="exact"/>
              <w:rPr>
                <w:rFonts w:hint="eastAsia" w:ascii="仿宋" w:hAnsi="仿宋" w:eastAsia="仿宋"/>
                <w:color w:val="000000"/>
                <w:sz w:val="24"/>
                <w:szCs w:val="24"/>
              </w:rPr>
            </w:pPr>
            <w:r>
              <w:rPr>
                <w:rFonts w:hint="eastAsia" w:ascii="仿宋" w:hAnsi="仿宋" w:eastAsia="仿宋"/>
                <w:color w:val="000000"/>
                <w:sz w:val="24"/>
                <w:szCs w:val="24"/>
              </w:rPr>
              <w:t>1）对客户提出的系统培训支持要求，根据具体需要定制最完善的培训方案，派专人到达指定地点开展培训工作。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continue"/>
            <w:noWrap w:val="0"/>
            <w:vAlign w:val="center"/>
          </w:tcPr>
          <w:p>
            <w:pPr>
              <w:spacing w:line="440" w:lineRule="atLeast"/>
              <w:rPr>
                <w:rFonts w:hint="eastAsia" w:ascii="仿宋" w:hAnsi="仿宋" w:eastAsia="仿宋"/>
                <w:color w:val="000000"/>
                <w:sz w:val="24"/>
                <w:szCs w:val="24"/>
              </w:rPr>
            </w:pPr>
          </w:p>
        </w:tc>
        <w:tc>
          <w:tcPr>
            <w:tcW w:w="4613" w:type="dxa"/>
            <w:noWrap w:val="0"/>
            <w:vAlign w:val="center"/>
          </w:tcPr>
          <w:p>
            <w:pPr>
              <w:spacing w:line="400" w:lineRule="exact"/>
              <w:rPr>
                <w:rFonts w:hint="eastAsia" w:ascii="仿宋" w:hAnsi="仿宋" w:eastAsia="仿宋"/>
                <w:color w:val="000000"/>
                <w:sz w:val="24"/>
                <w:szCs w:val="24"/>
              </w:rPr>
            </w:pPr>
            <w:r>
              <w:rPr>
                <w:rFonts w:hint="eastAsia" w:ascii="仿宋" w:hAnsi="仿宋" w:eastAsia="仿宋"/>
                <w:color w:val="000000"/>
                <w:sz w:val="24"/>
                <w:szCs w:val="24"/>
              </w:rPr>
              <w:t>2）对系统因定制开发而发生的变动，根据具体情况主动给客户提供培训。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noWrap w:val="0"/>
            <w:vAlign w:val="center"/>
          </w:tcPr>
          <w:p>
            <w:pPr>
              <w:spacing w:line="440" w:lineRule="atLeast"/>
              <w:rPr>
                <w:rFonts w:hint="eastAsia" w:ascii="仿宋" w:hAnsi="仿宋" w:eastAsia="仿宋"/>
                <w:color w:val="000000"/>
                <w:sz w:val="24"/>
                <w:szCs w:val="24"/>
              </w:rPr>
            </w:pPr>
            <w:r>
              <w:rPr>
                <w:rFonts w:hint="eastAsia" w:ascii="仿宋" w:hAnsi="仿宋" w:eastAsia="仿宋"/>
                <w:color w:val="000000"/>
                <w:sz w:val="24"/>
                <w:szCs w:val="24"/>
              </w:rPr>
              <w:t>7、更新服务</w:t>
            </w:r>
          </w:p>
        </w:tc>
        <w:tc>
          <w:tcPr>
            <w:tcW w:w="4613" w:type="dxa"/>
            <w:noWrap w:val="0"/>
            <w:vAlign w:val="center"/>
          </w:tcPr>
          <w:p>
            <w:pPr>
              <w:spacing w:line="400" w:lineRule="exact"/>
              <w:rPr>
                <w:rFonts w:hint="eastAsia" w:ascii="仿宋" w:hAnsi="仿宋" w:eastAsia="仿宋"/>
                <w:color w:val="000000"/>
                <w:sz w:val="24"/>
                <w:szCs w:val="24"/>
              </w:rPr>
            </w:pPr>
            <w:r>
              <w:rPr>
                <w:rFonts w:hint="eastAsia" w:ascii="仿宋" w:hAnsi="仿宋" w:eastAsia="仿宋"/>
                <w:color w:val="000000"/>
                <w:sz w:val="24"/>
                <w:szCs w:val="24"/>
              </w:rPr>
              <w:t>前往政务云平台更新。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440" w:lineRule="atLeast"/>
              <w:rPr>
                <w:rFonts w:hint="eastAsia" w:ascii="仿宋" w:hAnsi="仿宋" w:eastAsia="仿宋"/>
                <w:color w:val="000000"/>
                <w:sz w:val="24"/>
                <w:szCs w:val="24"/>
              </w:rPr>
            </w:pPr>
            <w:r>
              <w:rPr>
                <w:rFonts w:hint="eastAsia" w:ascii="仿宋" w:hAnsi="仿宋" w:eastAsia="仿宋"/>
                <w:color w:val="000000"/>
                <w:sz w:val="24"/>
                <w:szCs w:val="24"/>
              </w:rPr>
              <w:t>故障排除</w:t>
            </w:r>
          </w:p>
        </w:tc>
        <w:tc>
          <w:tcPr>
            <w:tcW w:w="1984" w:type="dxa"/>
            <w:vMerge w:val="restart"/>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业务系统安全加固</w:t>
            </w: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1）操作系统补丁需要升级或接到漏洞修复报告，配合云平台进行补丁升级，同时记录补丁升级情况。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continue"/>
            <w:noWrap w:val="0"/>
            <w:vAlign w:val="center"/>
          </w:tcPr>
          <w:p>
            <w:pPr>
              <w:spacing w:line="440" w:lineRule="atLeast"/>
              <w:rPr>
                <w:rFonts w:ascii="仿宋" w:hAnsi="仿宋" w:eastAsia="仿宋"/>
                <w:color w:val="000000"/>
                <w:sz w:val="24"/>
                <w:szCs w:val="24"/>
              </w:rPr>
            </w:pP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2）对各应用系统扫描出现的安全漏洞进行漏洞修复，记录修复情况。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2、安全等保测评</w:t>
            </w: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1）协助等保公司梳理业务系统；</w:t>
            </w:r>
          </w:p>
          <w:p>
            <w:pPr>
              <w:spacing w:line="400" w:lineRule="exact"/>
              <w:rPr>
                <w:rFonts w:ascii="仿宋" w:hAnsi="仿宋" w:eastAsia="仿宋"/>
                <w:color w:val="000000"/>
                <w:sz w:val="24"/>
                <w:szCs w:val="24"/>
              </w:rPr>
            </w:pPr>
            <w:r>
              <w:rPr>
                <w:rFonts w:ascii="仿宋" w:hAnsi="仿宋" w:eastAsia="仿宋"/>
                <w:color w:val="000000"/>
                <w:sz w:val="24"/>
                <w:szCs w:val="24"/>
              </w:rPr>
              <w:t>2）配合等保公司现场等保测评；</w:t>
            </w:r>
          </w:p>
          <w:p>
            <w:pPr>
              <w:spacing w:line="400" w:lineRule="exact"/>
              <w:rPr>
                <w:rFonts w:ascii="仿宋" w:hAnsi="仿宋" w:eastAsia="仿宋"/>
                <w:color w:val="000000"/>
                <w:sz w:val="24"/>
                <w:szCs w:val="24"/>
              </w:rPr>
            </w:pPr>
            <w:r>
              <w:rPr>
                <w:rFonts w:ascii="仿宋" w:hAnsi="仿宋" w:eastAsia="仿宋"/>
                <w:color w:val="000000"/>
                <w:sz w:val="24"/>
                <w:szCs w:val="24"/>
              </w:rPr>
              <w:t>3）等保测评问题整改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restart"/>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3、故障处理</w:t>
            </w:r>
          </w:p>
        </w:tc>
        <w:tc>
          <w:tcPr>
            <w:tcW w:w="4613" w:type="dxa"/>
            <w:noWrap w:val="0"/>
            <w:vAlign w:val="center"/>
          </w:tcPr>
          <w:p>
            <w:pPr>
              <w:spacing w:line="400" w:lineRule="exact"/>
              <w:rPr>
                <w:rFonts w:hint="eastAsia"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通过和客户沟通，确认bug问题</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continue"/>
            <w:noWrap w:val="0"/>
            <w:vAlign w:val="center"/>
          </w:tcPr>
          <w:p>
            <w:pPr>
              <w:spacing w:line="440" w:lineRule="atLeast"/>
              <w:rPr>
                <w:rFonts w:ascii="仿宋" w:hAnsi="仿宋" w:eastAsia="仿宋"/>
                <w:color w:val="000000"/>
                <w:sz w:val="24"/>
                <w:szCs w:val="24"/>
              </w:rPr>
            </w:pP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2）进行故障排除，</w:t>
            </w:r>
            <w:r>
              <w:rPr>
                <w:rFonts w:hint="eastAsia" w:ascii="仿宋" w:hAnsi="仿宋" w:eastAsia="仿宋"/>
                <w:color w:val="000000"/>
                <w:sz w:val="24"/>
                <w:szCs w:val="24"/>
              </w:rPr>
              <w:t>bug修正，测试完成后，</w:t>
            </w:r>
            <w:r>
              <w:rPr>
                <w:rFonts w:ascii="仿宋" w:hAnsi="仿宋" w:eastAsia="仿宋"/>
                <w:color w:val="000000"/>
                <w:sz w:val="24"/>
                <w:szCs w:val="24"/>
              </w:rPr>
              <w:t>重启系统运行。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continue"/>
            <w:noWrap w:val="0"/>
            <w:vAlign w:val="center"/>
          </w:tcPr>
          <w:p>
            <w:pPr>
              <w:spacing w:line="440" w:lineRule="atLeast"/>
              <w:rPr>
                <w:rFonts w:ascii="仿宋" w:hAnsi="仿宋" w:eastAsia="仿宋"/>
                <w:color w:val="000000"/>
                <w:sz w:val="24"/>
                <w:szCs w:val="24"/>
              </w:rPr>
            </w:pP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3）监测和电话回访，跟踪故障恢复后的运行状况。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ascii="仿宋" w:hAnsi="仿宋" w:eastAsia="仿宋"/>
                <w:color w:val="000000"/>
                <w:sz w:val="24"/>
                <w:szCs w:val="24"/>
              </w:rPr>
            </w:pPr>
          </w:p>
        </w:tc>
        <w:tc>
          <w:tcPr>
            <w:tcW w:w="1984" w:type="dxa"/>
            <w:vMerge w:val="continue"/>
            <w:noWrap w:val="0"/>
            <w:vAlign w:val="center"/>
          </w:tcPr>
          <w:p>
            <w:pPr>
              <w:spacing w:line="440" w:lineRule="atLeast"/>
              <w:rPr>
                <w:rFonts w:ascii="仿宋" w:hAnsi="仿宋" w:eastAsia="仿宋"/>
                <w:color w:val="000000"/>
                <w:sz w:val="24"/>
                <w:szCs w:val="24"/>
              </w:rPr>
            </w:pP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4）记录处理过程。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440" w:lineRule="atLeast"/>
              <w:rPr>
                <w:rFonts w:hint="eastAsia" w:ascii="仿宋" w:hAnsi="仿宋" w:eastAsia="仿宋"/>
                <w:color w:val="000000"/>
                <w:sz w:val="24"/>
                <w:szCs w:val="24"/>
              </w:rPr>
            </w:pPr>
            <w:r>
              <w:rPr>
                <w:rFonts w:hint="eastAsia" w:ascii="仿宋" w:hAnsi="仿宋" w:eastAsia="仿宋"/>
                <w:color w:val="000000"/>
                <w:sz w:val="24"/>
                <w:szCs w:val="24"/>
              </w:rPr>
              <w:t>内容维护</w:t>
            </w:r>
          </w:p>
        </w:tc>
        <w:tc>
          <w:tcPr>
            <w:tcW w:w="1984" w:type="dxa"/>
            <w:vMerge w:val="restart"/>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1、用户管理</w:t>
            </w: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1）各业务系统登录用户信息的确认、新增、修改、删除；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hint="eastAsia" w:ascii="仿宋" w:hAnsi="仿宋" w:eastAsia="仿宋"/>
                <w:color w:val="000000"/>
                <w:sz w:val="24"/>
                <w:szCs w:val="24"/>
              </w:rPr>
            </w:pPr>
          </w:p>
        </w:tc>
        <w:tc>
          <w:tcPr>
            <w:tcW w:w="1984" w:type="dxa"/>
            <w:vMerge w:val="continue"/>
            <w:noWrap w:val="0"/>
            <w:vAlign w:val="center"/>
          </w:tcPr>
          <w:p>
            <w:pPr>
              <w:spacing w:line="440" w:lineRule="atLeast"/>
              <w:rPr>
                <w:rFonts w:ascii="仿宋" w:hAnsi="仿宋" w:eastAsia="仿宋"/>
                <w:color w:val="000000"/>
                <w:sz w:val="24"/>
                <w:szCs w:val="24"/>
              </w:rPr>
            </w:pP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2）用户权限管理、变更、重置等；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hint="eastAsia" w:ascii="仿宋" w:hAnsi="仿宋" w:eastAsia="仿宋"/>
                <w:color w:val="000000"/>
                <w:sz w:val="24"/>
                <w:szCs w:val="24"/>
              </w:rPr>
            </w:pPr>
          </w:p>
        </w:tc>
        <w:tc>
          <w:tcPr>
            <w:tcW w:w="1984" w:type="dxa"/>
            <w:vMerge w:val="restart"/>
            <w:noWrap w:val="0"/>
            <w:vAlign w:val="center"/>
          </w:tcPr>
          <w:p>
            <w:pPr>
              <w:spacing w:line="440" w:lineRule="atLeast"/>
              <w:rPr>
                <w:rFonts w:ascii="仿宋" w:hAnsi="仿宋" w:eastAsia="仿宋"/>
                <w:color w:val="000000"/>
                <w:sz w:val="24"/>
                <w:szCs w:val="24"/>
              </w:rPr>
            </w:pPr>
            <w:r>
              <w:rPr>
                <w:rFonts w:ascii="仿宋" w:hAnsi="仿宋" w:eastAsia="仿宋"/>
                <w:color w:val="000000"/>
                <w:sz w:val="24"/>
                <w:szCs w:val="24"/>
              </w:rPr>
              <w:t>2、业务系统数据管理</w:t>
            </w:r>
          </w:p>
        </w:tc>
        <w:tc>
          <w:tcPr>
            <w:tcW w:w="4613" w:type="dxa"/>
            <w:noWrap w:val="0"/>
            <w:vAlign w:val="center"/>
          </w:tcPr>
          <w:p>
            <w:pPr>
              <w:spacing w:line="400" w:lineRule="exact"/>
              <w:rPr>
                <w:rFonts w:hint="eastAsia" w:ascii="仿宋" w:hAnsi="仿宋" w:eastAsia="仿宋"/>
                <w:color w:val="000000"/>
                <w:sz w:val="24"/>
                <w:szCs w:val="24"/>
              </w:rPr>
            </w:pPr>
            <w:r>
              <w:rPr>
                <w:rFonts w:ascii="仿宋" w:hAnsi="仿宋" w:eastAsia="仿宋"/>
                <w:color w:val="000000"/>
                <w:sz w:val="24"/>
                <w:szCs w:val="24"/>
              </w:rPr>
              <w:t>1）针对业务科室上报</w:t>
            </w:r>
            <w:r>
              <w:rPr>
                <w:rFonts w:hint="eastAsia" w:ascii="仿宋" w:hAnsi="仿宋" w:eastAsia="仿宋"/>
                <w:color w:val="000000"/>
                <w:sz w:val="24"/>
                <w:szCs w:val="24"/>
              </w:rPr>
              <w:t>的</w:t>
            </w:r>
            <w:r>
              <w:rPr>
                <w:rFonts w:ascii="仿宋" w:hAnsi="仿宋" w:eastAsia="仿宋"/>
                <w:color w:val="000000"/>
                <w:sz w:val="24"/>
                <w:szCs w:val="24"/>
              </w:rPr>
              <w:t>错误数据，运维人员核实错误信息并查找错误数据原因，进行错误数据处理，记录处理结果。</w:t>
            </w:r>
          </w:p>
          <w:p>
            <w:pPr>
              <w:spacing w:line="400" w:lineRule="exact"/>
              <w:rPr>
                <w:rFonts w:ascii="仿宋" w:hAnsi="仿宋" w:eastAsia="仿宋"/>
                <w:color w:val="000000"/>
                <w:sz w:val="24"/>
                <w:szCs w:val="24"/>
              </w:rPr>
            </w:pPr>
            <w:r>
              <w:rPr>
                <w:rFonts w:ascii="仿宋" w:hAnsi="仿宋" w:eastAsia="仿宋"/>
                <w:color w:val="000000"/>
                <w:sz w:val="24"/>
                <w:szCs w:val="24"/>
              </w:rPr>
              <w:t>2）针对业务科室上报</w:t>
            </w:r>
            <w:r>
              <w:rPr>
                <w:rFonts w:hint="eastAsia" w:ascii="仿宋" w:hAnsi="仿宋" w:eastAsia="仿宋"/>
                <w:color w:val="000000"/>
                <w:sz w:val="24"/>
                <w:szCs w:val="24"/>
              </w:rPr>
              <w:t>的失效</w:t>
            </w:r>
            <w:r>
              <w:rPr>
                <w:rFonts w:ascii="仿宋" w:hAnsi="仿宋" w:eastAsia="仿宋"/>
                <w:color w:val="000000"/>
                <w:sz w:val="24"/>
                <w:szCs w:val="24"/>
              </w:rPr>
              <w:t>数据，运维人员</w:t>
            </w:r>
            <w:r>
              <w:rPr>
                <w:rFonts w:hint="eastAsia" w:ascii="仿宋" w:hAnsi="仿宋" w:eastAsia="仿宋"/>
                <w:color w:val="000000"/>
                <w:sz w:val="24"/>
                <w:szCs w:val="24"/>
              </w:rPr>
              <w:t>进行失效数据</w:t>
            </w:r>
            <w:r>
              <w:rPr>
                <w:rFonts w:ascii="仿宋" w:hAnsi="仿宋" w:eastAsia="仿宋"/>
                <w:color w:val="000000"/>
                <w:sz w:val="24"/>
                <w:szCs w:val="24"/>
              </w:rPr>
              <w:t>处理，记录处理结果。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hint="eastAsia" w:ascii="仿宋" w:hAnsi="仿宋" w:eastAsia="仿宋"/>
                <w:color w:val="000000"/>
                <w:sz w:val="24"/>
                <w:szCs w:val="24"/>
              </w:rPr>
            </w:pPr>
          </w:p>
        </w:tc>
        <w:tc>
          <w:tcPr>
            <w:tcW w:w="1984" w:type="dxa"/>
            <w:vMerge w:val="continue"/>
            <w:noWrap w:val="0"/>
            <w:vAlign w:val="center"/>
          </w:tcPr>
          <w:p>
            <w:pPr>
              <w:spacing w:line="440" w:lineRule="atLeast"/>
              <w:rPr>
                <w:rFonts w:ascii="仿宋" w:hAnsi="仿宋" w:eastAsia="仿宋"/>
                <w:color w:val="000000"/>
                <w:sz w:val="24"/>
                <w:szCs w:val="24"/>
              </w:rPr>
            </w:pPr>
          </w:p>
        </w:tc>
        <w:tc>
          <w:tcPr>
            <w:tcW w:w="4613" w:type="dxa"/>
            <w:noWrap w:val="0"/>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2）业务系统字典项维护服务：各系统字典项维护工作，主要包括字典项内容的新增、更新、测试等。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hint="eastAsia" w:ascii="仿宋" w:hAnsi="仿宋" w:eastAsia="仿宋"/>
                <w:color w:val="000000"/>
                <w:sz w:val="24"/>
                <w:szCs w:val="24"/>
              </w:rPr>
            </w:pPr>
          </w:p>
        </w:tc>
        <w:tc>
          <w:tcPr>
            <w:tcW w:w="1984" w:type="dxa"/>
            <w:noWrap w:val="0"/>
            <w:vAlign w:val="center"/>
          </w:tcPr>
          <w:p>
            <w:pPr>
              <w:spacing w:line="440" w:lineRule="atLeast"/>
              <w:rPr>
                <w:rFonts w:ascii="仿宋" w:hAnsi="仿宋" w:eastAsia="仿宋"/>
                <w:color w:val="000000"/>
                <w:sz w:val="24"/>
                <w:szCs w:val="24"/>
              </w:rPr>
            </w:pPr>
            <w:r>
              <w:rPr>
                <w:rFonts w:hint="eastAsia" w:ascii="仿宋" w:hAnsi="仿宋" w:eastAsia="仿宋"/>
                <w:color w:val="000000"/>
                <w:sz w:val="24"/>
                <w:szCs w:val="24"/>
              </w:rPr>
              <w:t>3、专题活动策划与设计</w:t>
            </w:r>
          </w:p>
        </w:tc>
        <w:tc>
          <w:tcPr>
            <w:tcW w:w="4613" w:type="dxa"/>
            <w:noWrap w:val="0"/>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微网站专题栏目的策划、原型及美工UI设计、页面开发,如海淀高校毕业生专区、百日千万招聘会、零工市场专区等栏目的策划和设计。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hint="eastAsia" w:ascii="仿宋" w:hAnsi="仿宋" w:eastAsia="仿宋"/>
                <w:color w:val="000000"/>
                <w:sz w:val="24"/>
                <w:szCs w:val="24"/>
              </w:rPr>
            </w:pPr>
          </w:p>
        </w:tc>
        <w:tc>
          <w:tcPr>
            <w:tcW w:w="1984" w:type="dxa"/>
            <w:noWrap w:val="0"/>
            <w:vAlign w:val="center"/>
          </w:tcPr>
          <w:p>
            <w:pPr>
              <w:spacing w:line="440" w:lineRule="atLeast"/>
              <w:rPr>
                <w:rFonts w:ascii="仿宋" w:hAnsi="仿宋" w:eastAsia="仿宋"/>
                <w:color w:val="000000"/>
                <w:sz w:val="24"/>
                <w:szCs w:val="24"/>
              </w:rPr>
            </w:pPr>
            <w:r>
              <w:rPr>
                <w:rFonts w:hint="eastAsia" w:ascii="仿宋" w:hAnsi="仿宋" w:eastAsia="仿宋"/>
                <w:color w:val="000000"/>
                <w:sz w:val="24"/>
                <w:szCs w:val="24"/>
              </w:rPr>
              <w:t>4、微网站内容维护服务</w:t>
            </w:r>
          </w:p>
        </w:tc>
        <w:tc>
          <w:tcPr>
            <w:tcW w:w="4613" w:type="dxa"/>
            <w:noWrap w:val="0"/>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确保数据及时更新，提升内容创意性、可读性，包括内容设计，排版和图片制作、内容修改、内容发布。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hint="eastAsia" w:ascii="仿宋" w:hAnsi="仿宋" w:eastAsia="仿宋"/>
                <w:color w:val="000000"/>
                <w:sz w:val="24"/>
                <w:szCs w:val="24"/>
              </w:rPr>
            </w:pPr>
          </w:p>
        </w:tc>
        <w:tc>
          <w:tcPr>
            <w:tcW w:w="1984" w:type="dxa"/>
            <w:noWrap w:val="0"/>
            <w:vAlign w:val="center"/>
          </w:tcPr>
          <w:p>
            <w:pPr>
              <w:spacing w:line="440" w:lineRule="atLeast"/>
              <w:rPr>
                <w:rFonts w:hint="eastAsia" w:ascii="仿宋" w:hAnsi="仿宋" w:eastAsia="仿宋"/>
                <w:color w:val="000000"/>
                <w:sz w:val="24"/>
                <w:szCs w:val="24"/>
              </w:rPr>
            </w:pPr>
            <w:r>
              <w:rPr>
                <w:rFonts w:hint="eastAsia" w:ascii="仿宋" w:hAnsi="仿宋" w:eastAsia="仿宋"/>
                <w:color w:val="000000"/>
                <w:sz w:val="24"/>
                <w:szCs w:val="24"/>
              </w:rPr>
              <w:t>5、数据统计分析服务</w:t>
            </w:r>
          </w:p>
        </w:tc>
        <w:tc>
          <w:tcPr>
            <w:tcW w:w="4613" w:type="dxa"/>
            <w:noWrap w:val="0"/>
            <w:vAlign w:val="center"/>
          </w:tcPr>
          <w:p>
            <w:pPr>
              <w:spacing w:line="400" w:lineRule="exact"/>
              <w:rPr>
                <w:rFonts w:hint="eastAsia" w:ascii="仿宋" w:hAnsi="仿宋" w:eastAsia="仿宋"/>
                <w:color w:val="000000"/>
                <w:sz w:val="24"/>
                <w:szCs w:val="24"/>
              </w:rPr>
            </w:pPr>
            <w:r>
              <w:rPr>
                <w:rFonts w:hint="eastAsia" w:ascii="仿宋" w:hAnsi="仿宋" w:eastAsia="仿宋" w:cs="宋体"/>
                <w:color w:val="000000"/>
                <w:kern w:val="0"/>
                <w:sz w:val="24"/>
                <w:szCs w:val="24"/>
              </w:rPr>
              <w:t>对用户访问量、注册人数、文档点击量、咨询量等信息进行统计分析。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spacing w:line="440" w:lineRule="atLeast"/>
              <w:rPr>
                <w:rFonts w:hint="eastAsia" w:ascii="仿宋" w:hAnsi="仿宋" w:eastAsia="仿宋"/>
                <w:color w:val="000000"/>
                <w:sz w:val="24"/>
                <w:szCs w:val="24"/>
              </w:rPr>
            </w:pPr>
          </w:p>
        </w:tc>
        <w:tc>
          <w:tcPr>
            <w:tcW w:w="1984" w:type="dxa"/>
            <w:noWrap w:val="0"/>
            <w:vAlign w:val="center"/>
          </w:tcPr>
          <w:p>
            <w:pPr>
              <w:spacing w:line="440" w:lineRule="atLeast"/>
              <w:rPr>
                <w:rFonts w:hint="eastAsia" w:ascii="仿宋" w:hAnsi="仿宋" w:eastAsia="仿宋"/>
                <w:color w:val="000000"/>
                <w:sz w:val="24"/>
                <w:szCs w:val="24"/>
              </w:rPr>
            </w:pPr>
            <w:r>
              <w:rPr>
                <w:rFonts w:hint="eastAsia" w:ascii="仿宋" w:hAnsi="仿宋" w:eastAsia="仿宋"/>
                <w:color w:val="000000"/>
                <w:sz w:val="24"/>
                <w:szCs w:val="24"/>
              </w:rPr>
              <w:t>6、排队系统接入</w:t>
            </w:r>
          </w:p>
        </w:tc>
        <w:tc>
          <w:tcPr>
            <w:tcW w:w="4613" w:type="dxa"/>
            <w:noWrap w:val="0"/>
            <w:vAlign w:val="center"/>
          </w:tcPr>
          <w:p>
            <w:pPr>
              <w:spacing w:line="400" w:lineRule="exact"/>
              <w:rPr>
                <w:rFonts w:hint="eastAsia" w:ascii="仿宋" w:hAnsi="仿宋" w:eastAsia="仿宋"/>
                <w:color w:val="000000"/>
                <w:sz w:val="24"/>
                <w:szCs w:val="24"/>
              </w:rPr>
            </w:pPr>
            <w:r>
              <w:rPr>
                <w:rFonts w:hint="eastAsia" w:ascii="仿宋" w:hAnsi="仿宋" w:eastAsia="仿宋" w:cs="宋体"/>
                <w:color w:val="000000"/>
                <w:kern w:val="0"/>
                <w:sz w:val="24"/>
                <w:szCs w:val="24"/>
              </w:rPr>
              <w:t>大厅排队系统接入微信公众号平台，需新增菜单模块，跳转到统一身份认证平台后进行注册，根据人员的当前定位情况进行判定在公众号推送四种不同的模板消息。</w:t>
            </w: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宋体" w:eastAsia="仿宋_GB2312"/>
          <w:sz w:val="32"/>
          <w:szCs w:val="32"/>
        </w:rPr>
      </w:pPr>
      <w:r>
        <w:rPr>
          <w:rFonts w:hint="eastAsia" w:ascii="仿宋_GB2312" w:hAnsi="宋体" w:eastAsia="仿宋_GB2312"/>
          <w:sz w:val="32"/>
          <w:szCs w:val="32"/>
        </w:rPr>
        <w:br w:type="page"/>
      </w:r>
      <w:bookmarkStart w:id="16" w:name="_GoBack"/>
      <w:bookmarkEnd w:id="16"/>
    </w:p>
    <w:p>
      <w:pPr>
        <w:tabs>
          <w:tab w:val="left" w:pos="630"/>
        </w:tabs>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附件2</w:t>
      </w:r>
    </w:p>
    <w:p>
      <w:pPr>
        <w:adjustRightInd w:val="0"/>
        <w:snapToGrid w:val="0"/>
        <w:spacing w:after="624" w:afterLines="200"/>
        <w:jc w:val="center"/>
        <w:outlineLvl w:val="0"/>
        <w:rPr>
          <w:rStyle w:val="14"/>
          <w:rFonts w:ascii="仿宋_GB2312" w:hAnsi="宋体" w:eastAsia="仿宋_GB2312"/>
          <w:sz w:val="36"/>
          <w:szCs w:val="36"/>
        </w:rPr>
      </w:pPr>
      <w:r>
        <w:rPr>
          <w:rStyle w:val="14"/>
          <w:rFonts w:hint="eastAsia" w:ascii="仿宋_GB2312" w:hAnsi="宋体" w:eastAsia="仿宋_GB2312"/>
          <w:sz w:val="36"/>
          <w:szCs w:val="36"/>
        </w:rPr>
        <w:t>参与</w:t>
      </w:r>
      <w:r>
        <w:rPr>
          <w:rFonts w:hint="eastAsia" w:ascii="仿宋_GB2312" w:hAnsi="宋体" w:eastAsia="仿宋_GB2312" w:cs="宋体"/>
          <w:b/>
          <w:bCs/>
          <w:color w:val="000000"/>
          <w:kern w:val="0"/>
          <w:sz w:val="36"/>
          <w:szCs w:val="36"/>
        </w:rPr>
        <w:t>评定采购</w:t>
      </w:r>
      <w:r>
        <w:rPr>
          <w:rStyle w:val="14"/>
          <w:rFonts w:hint="eastAsia" w:ascii="仿宋_GB2312" w:hAnsi="宋体" w:eastAsia="仿宋_GB2312"/>
          <w:sz w:val="36"/>
          <w:szCs w:val="36"/>
        </w:rPr>
        <w:t>报名回执</w:t>
      </w:r>
    </w:p>
    <w:p>
      <w:pPr>
        <w:spacing w:before="312" w:beforeLines="100"/>
        <w:rPr>
          <w:rFonts w:ascii="仿宋_GB2312" w:eastAsia="仿宋_GB2312"/>
          <w:sz w:val="32"/>
          <w:szCs w:val="32"/>
        </w:rPr>
      </w:pPr>
      <w:r>
        <w:rPr>
          <w:rFonts w:hint="eastAsia" w:ascii="仿宋_GB2312" w:eastAsia="仿宋_GB2312"/>
          <w:sz w:val="32"/>
          <w:szCs w:val="32"/>
        </w:rPr>
        <w:t>北京市海淀区人力资源公共服务中心：</w:t>
      </w:r>
    </w:p>
    <w:p>
      <w:pPr>
        <w:ind w:firstLine="640" w:firstLineChars="200"/>
        <w:rPr>
          <w:rFonts w:ascii="仿宋_GB2312" w:eastAsia="仿宋_GB2312"/>
          <w:sz w:val="32"/>
          <w:szCs w:val="32"/>
        </w:rPr>
      </w:pPr>
      <w:r>
        <w:rPr>
          <w:rFonts w:hint="eastAsia" w:ascii="仿宋_GB2312" w:eastAsia="仿宋_GB2312"/>
          <w:sz w:val="32"/>
          <w:szCs w:val="32"/>
        </w:rPr>
        <w:t>我单位确定参与《202</w:t>
      </w:r>
      <w:r>
        <w:rPr>
          <w:rFonts w:hint="eastAsia" w:ascii="仿宋_GB2312" w:eastAsia="仿宋_GB2312"/>
          <w:sz w:val="32"/>
          <w:szCs w:val="32"/>
          <w:lang w:val="en-US" w:eastAsia="zh-CN"/>
        </w:rPr>
        <w:t>4</w:t>
      </w:r>
      <w:r>
        <w:rPr>
          <w:rFonts w:hint="eastAsia" w:ascii="仿宋_GB2312" w:eastAsia="仿宋_GB2312"/>
          <w:sz w:val="32"/>
          <w:szCs w:val="32"/>
        </w:rPr>
        <w:t>年度海淀区人力资源公共服务中心业务系统运维服务》评定政府采购项目（项目编号：HDGFZX-PD-202</w:t>
      </w:r>
      <w:r>
        <w:rPr>
          <w:rFonts w:hint="eastAsia" w:ascii="仿宋_GB2312" w:eastAsia="仿宋_GB2312"/>
          <w:sz w:val="32"/>
          <w:szCs w:val="32"/>
          <w:lang w:val="en-US" w:eastAsia="zh-CN"/>
        </w:rPr>
        <w:t>4</w:t>
      </w:r>
      <w:r>
        <w:rPr>
          <w:rFonts w:hint="eastAsia" w:ascii="仿宋_GB2312" w:eastAsia="仿宋_GB2312"/>
          <w:sz w:val="32"/>
          <w:szCs w:val="32"/>
        </w:rPr>
        <w:t>-01），特此回函确认。</w:t>
      </w:r>
    </w:p>
    <w:p>
      <w:pPr>
        <w:ind w:firstLine="640" w:firstLineChars="200"/>
        <w:rPr>
          <w:rFonts w:ascii="仿宋_GB2312" w:eastAsia="仿宋_GB2312"/>
          <w:sz w:val="32"/>
          <w:szCs w:val="32"/>
        </w:rPr>
      </w:pPr>
      <w:r>
        <w:rPr>
          <w:rFonts w:hint="eastAsia" w:ascii="仿宋_GB2312" w:eastAsia="仿宋_GB2312"/>
          <w:sz w:val="32"/>
          <w:szCs w:val="32"/>
        </w:rPr>
        <w:t>联 系 人：</w:t>
      </w:r>
    </w:p>
    <w:p>
      <w:pPr>
        <w:ind w:firstLine="640" w:firstLineChars="200"/>
        <w:rPr>
          <w:rFonts w:ascii="仿宋_GB2312" w:eastAsia="仿宋_GB2312"/>
          <w:sz w:val="32"/>
          <w:szCs w:val="32"/>
        </w:rPr>
      </w:pPr>
      <w:r>
        <w:rPr>
          <w:rFonts w:hint="eastAsia" w:ascii="仿宋_GB2312" w:eastAsia="仿宋_GB2312"/>
          <w:sz w:val="32"/>
          <w:szCs w:val="32"/>
        </w:rPr>
        <w:t>联系电话：</w:t>
      </w:r>
    </w:p>
    <w:p>
      <w:pPr>
        <w:ind w:firstLine="640" w:firstLineChars="200"/>
        <w:rPr>
          <w:rFonts w:ascii="仿宋_GB2312" w:eastAsia="仿宋_GB2312"/>
          <w:sz w:val="32"/>
          <w:szCs w:val="32"/>
        </w:rPr>
      </w:pPr>
      <w:r>
        <w:rPr>
          <w:rFonts w:hint="eastAsia" w:ascii="仿宋_GB2312" w:eastAsia="仿宋_GB2312"/>
          <w:sz w:val="32"/>
          <w:szCs w:val="32"/>
        </w:rPr>
        <w:t>电子邮箱：</w:t>
      </w:r>
    </w:p>
    <w:p>
      <w:pPr>
        <w:ind w:right="640" w:firstLine="640" w:firstLineChars="200"/>
        <w:rPr>
          <w:rFonts w:ascii="仿宋_GB2312" w:eastAsia="仿宋_GB2312"/>
          <w:sz w:val="32"/>
          <w:szCs w:val="32"/>
        </w:rPr>
      </w:pPr>
      <w:r>
        <w:rPr>
          <w:rFonts w:hint="eastAsia" w:ascii="仿宋_GB2312" w:eastAsia="仿宋_GB2312"/>
          <w:sz w:val="32"/>
          <w:szCs w:val="32"/>
        </w:rPr>
        <w:t>供应商全称（并加盖公章）:</w:t>
      </w:r>
    </w:p>
    <w:p>
      <w:pPr>
        <w:ind w:right="640" w:firstLine="640" w:firstLineChars="200"/>
        <w:rPr>
          <w:rFonts w:ascii="仿宋_GB2312" w:eastAsia="仿宋_GB2312"/>
          <w:sz w:val="32"/>
          <w:szCs w:val="32"/>
        </w:rPr>
      </w:pPr>
      <w:r>
        <w:rPr>
          <w:rFonts w:hint="eastAsia" w:ascii="仿宋_GB2312" w:eastAsia="仿宋_GB2312"/>
          <w:sz w:val="32"/>
          <w:szCs w:val="32"/>
        </w:rPr>
        <w:t>附件：营业执照及税务登记证书（复印件）</w:t>
      </w:r>
    </w:p>
    <w:p>
      <w:pPr>
        <w:ind w:right="640" w:firstLine="640" w:firstLineChars="200"/>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年   月   日</w:t>
      </w:r>
    </w:p>
    <w:p>
      <w:pPr>
        <w:spacing w:line="360" w:lineRule="auto"/>
        <w:rPr>
          <w:rFonts w:ascii="仿宋_GB2312" w:hAnsi="仿宋" w:eastAsia="仿宋_GB2312" w:cs="仿宋"/>
          <w:sz w:val="28"/>
          <w:szCs w:val="28"/>
        </w:rPr>
      </w:pPr>
    </w:p>
    <w:p>
      <w:pPr>
        <w:spacing w:line="360" w:lineRule="auto"/>
        <w:rPr>
          <w:rFonts w:ascii="仿宋_GB2312" w:hAnsi="仿宋" w:eastAsia="仿宋_GB2312" w:cs="仿宋"/>
          <w:sz w:val="28"/>
          <w:szCs w:val="28"/>
        </w:rPr>
      </w:pPr>
    </w:p>
    <w:p>
      <w:pPr>
        <w:spacing w:line="360" w:lineRule="auto"/>
        <w:rPr>
          <w:rFonts w:ascii="仿宋_GB2312" w:hAnsi="仿宋" w:eastAsia="仿宋_GB2312" w:cs="仿宋"/>
          <w:sz w:val="28"/>
          <w:szCs w:val="28"/>
        </w:rPr>
      </w:pPr>
    </w:p>
    <w:p>
      <w:pPr>
        <w:spacing w:line="360" w:lineRule="auto"/>
        <w:rPr>
          <w:rFonts w:ascii="仿宋_GB2312" w:hAnsi="仿宋" w:eastAsia="仿宋_GB2312" w:cs="仿宋"/>
          <w:sz w:val="28"/>
          <w:szCs w:val="28"/>
        </w:rPr>
      </w:pPr>
    </w:p>
    <w:p>
      <w:pPr>
        <w:widowControl/>
        <w:jc w:val="left"/>
        <w:rPr>
          <w:rFonts w:ascii="仿宋_GB2312" w:hAnsi="仿宋" w:eastAsia="仿宋_GB2312" w:cs="仿宋"/>
          <w:sz w:val="28"/>
          <w:szCs w:val="28"/>
        </w:rPr>
      </w:pPr>
      <w:r>
        <w:rPr>
          <w:rFonts w:hint="eastAsia" w:ascii="仿宋_GB2312" w:hAnsi="仿宋" w:eastAsia="仿宋_GB2312" w:cs="仿宋"/>
          <w:sz w:val="28"/>
          <w:szCs w:val="28"/>
        </w:rPr>
        <w:br w:type="page"/>
      </w:r>
    </w:p>
    <w:p>
      <w:pPr>
        <w:tabs>
          <w:tab w:val="left" w:pos="630"/>
        </w:tabs>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附件3</w:t>
      </w:r>
    </w:p>
    <w:p>
      <w:pPr>
        <w:widowControl/>
        <w:jc w:val="center"/>
        <w:rPr>
          <w:rFonts w:ascii="仿宋_GB2312" w:hAnsi="宋体" w:eastAsia="仿宋_GB2312" w:cs="宋体"/>
          <w:b/>
          <w:kern w:val="0"/>
          <w:sz w:val="36"/>
          <w:szCs w:val="36"/>
        </w:rPr>
      </w:pPr>
      <w:r>
        <w:rPr>
          <w:rStyle w:val="14"/>
          <w:rFonts w:hint="eastAsia" w:ascii="仿宋_GB2312" w:hAnsi="宋体" w:eastAsia="仿宋_GB2312"/>
          <w:sz w:val="36"/>
          <w:szCs w:val="36"/>
        </w:rPr>
        <w:t>参与</w:t>
      </w:r>
      <w:r>
        <w:rPr>
          <w:rFonts w:hint="eastAsia" w:ascii="仿宋_GB2312" w:hAnsi="宋体" w:eastAsia="仿宋_GB2312" w:cs="宋体"/>
          <w:b/>
          <w:kern w:val="0"/>
          <w:sz w:val="36"/>
          <w:szCs w:val="36"/>
        </w:rPr>
        <w:t>评定供应商一览表</w:t>
      </w:r>
    </w:p>
    <w:p>
      <w:pPr>
        <w:widowControl/>
        <w:ind w:left="1200" w:hanging="1200" w:hangingChars="500"/>
        <w:rPr>
          <w:rFonts w:ascii="仿宋_GB2312" w:hAnsi="宋体" w:eastAsia="仿宋_GB2312" w:cs="宋体"/>
          <w:kern w:val="0"/>
          <w:sz w:val="24"/>
        </w:rPr>
      </w:pPr>
      <w:r>
        <w:rPr>
          <w:rFonts w:hint="eastAsia" w:ascii="仿宋_GB2312" w:hAnsi="宋体" w:eastAsia="仿宋_GB2312" w:cs="宋体"/>
          <w:kern w:val="0"/>
          <w:sz w:val="24"/>
        </w:rPr>
        <w:t>项目名称： 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年度海淀区人力资源公共服务中心业务系统运维服务</w:t>
      </w:r>
    </w:p>
    <w:p>
      <w:pPr>
        <w:widowControl/>
        <w:rPr>
          <w:rFonts w:ascii="仿宋_GB2312" w:hAnsi="宋体" w:eastAsia="仿宋_GB2312" w:cs="宋体"/>
          <w:kern w:val="0"/>
          <w:sz w:val="24"/>
        </w:rPr>
      </w:pPr>
      <w:r>
        <w:rPr>
          <w:rFonts w:hint="eastAsia" w:ascii="仿宋_GB2312" w:hAnsi="宋体" w:eastAsia="仿宋_GB2312" w:cs="宋体"/>
          <w:kern w:val="0"/>
          <w:sz w:val="24"/>
        </w:rPr>
        <w:t>项目编号： HDGFZX-PD-202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-01</w:t>
      </w:r>
    </w:p>
    <w:p>
      <w:pPr>
        <w:rPr>
          <w:rFonts w:ascii="仿宋_GB2312" w:eastAsia="仿宋_GB2312"/>
          <w:sz w:val="24"/>
        </w:rPr>
      </w:pPr>
    </w:p>
    <w:tbl>
      <w:tblPr>
        <w:tblStyle w:val="9"/>
        <w:tblW w:w="8237" w:type="dxa"/>
        <w:tblInd w:w="93" w:type="dxa"/>
        <w:tblLayout w:type="autofit"/>
        <w:tblCellMar>
          <w:top w:w="0" w:type="dxa"/>
          <w:left w:w="108" w:type="dxa"/>
          <w:bottom w:w="0" w:type="dxa"/>
          <w:right w:w="108" w:type="dxa"/>
        </w:tblCellMar>
      </w:tblPr>
      <w:tblGrid>
        <w:gridCol w:w="800"/>
        <w:gridCol w:w="5169"/>
        <w:gridCol w:w="2268"/>
      </w:tblGrid>
      <w:tr>
        <w:tblPrEx>
          <w:tblCellMar>
            <w:top w:w="0" w:type="dxa"/>
            <w:left w:w="108" w:type="dxa"/>
            <w:bottom w:w="0" w:type="dxa"/>
            <w:right w:w="108" w:type="dxa"/>
          </w:tblCellMar>
        </w:tblPrEx>
        <w:trPr>
          <w:trHeight w:val="600"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供应商名称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回执送达时间</w:t>
            </w: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51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r>
    </w:tbl>
    <w:p>
      <w:pPr>
        <w:widowControl/>
        <w:rPr>
          <w:rFonts w:ascii="仿宋_GB2312" w:hAnsi="宋体" w:eastAsia="仿宋_GB2312" w:cs="宋体"/>
          <w:kern w:val="0"/>
          <w:sz w:val="24"/>
        </w:rPr>
      </w:pPr>
    </w:p>
    <w:p>
      <w:pPr>
        <w:widowControl/>
        <w:rPr>
          <w:rFonts w:ascii="仿宋_GB2312" w:hAnsi="宋体" w:eastAsia="仿宋_GB2312" w:cs="宋体"/>
          <w:kern w:val="0"/>
          <w:sz w:val="24"/>
        </w:rPr>
      </w:pPr>
      <w:r>
        <w:rPr>
          <w:rFonts w:hint="eastAsia" w:ascii="仿宋_GB2312" w:hAnsi="宋体" w:eastAsia="仿宋_GB2312" w:cs="宋体"/>
          <w:kern w:val="0"/>
          <w:sz w:val="24"/>
        </w:rPr>
        <w:t>评定小组人员签字：</w:t>
      </w:r>
    </w:p>
    <w:p>
      <w:pPr>
        <w:spacing w:line="360" w:lineRule="auto"/>
        <w:rPr>
          <w:rFonts w:ascii="仿宋_GB2312" w:hAnsi="仿宋" w:eastAsia="仿宋_GB2312" w:cs="仿宋"/>
          <w:sz w:val="24"/>
        </w:rPr>
      </w:pPr>
    </w:p>
    <w:p>
      <w:pPr>
        <w:widowControl/>
        <w:jc w:val="left"/>
        <w:rPr>
          <w:rFonts w:ascii="仿宋_GB2312" w:hAnsi="仿宋" w:eastAsia="仿宋_GB2312" w:cs="仿宋"/>
          <w:sz w:val="28"/>
          <w:szCs w:val="28"/>
        </w:rPr>
      </w:pPr>
      <w:r>
        <w:rPr>
          <w:rFonts w:hint="eastAsia" w:ascii="仿宋_GB2312" w:hAnsi="仿宋" w:eastAsia="仿宋_GB2312" w:cs="仿宋"/>
          <w:sz w:val="28"/>
          <w:szCs w:val="28"/>
        </w:rPr>
        <w:br w:type="page"/>
      </w:r>
    </w:p>
    <w:p>
      <w:pPr>
        <w:tabs>
          <w:tab w:val="left" w:pos="630"/>
        </w:tabs>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附件4</w:t>
      </w:r>
    </w:p>
    <w:p>
      <w:pPr>
        <w:tabs>
          <w:tab w:val="left" w:pos="630"/>
        </w:tabs>
        <w:adjustRightInd w:val="0"/>
        <w:snapToGrid w:val="0"/>
        <w:spacing w:line="360" w:lineRule="auto"/>
        <w:jc w:val="center"/>
        <w:rPr>
          <w:rFonts w:ascii="仿宋_GB2312" w:hAnsi="宋体" w:eastAsia="仿宋_GB2312"/>
          <w:b/>
          <w:sz w:val="36"/>
          <w:szCs w:val="36"/>
        </w:rPr>
      </w:pPr>
      <w:r>
        <w:rPr>
          <w:rFonts w:hint="eastAsia" w:ascii="仿宋_GB2312" w:hAnsi="宋体" w:eastAsia="仿宋_GB2312"/>
          <w:b/>
          <w:sz w:val="36"/>
          <w:szCs w:val="36"/>
        </w:rPr>
        <w:t>法定代表人授权书</w:t>
      </w:r>
    </w:p>
    <w:p>
      <w:pPr>
        <w:tabs>
          <w:tab w:val="left" w:pos="630"/>
        </w:tabs>
        <w:adjustRightInd w:val="0"/>
        <w:snapToGrid w:val="0"/>
        <w:spacing w:before="156" w:beforeLines="50" w:after="156" w:afterLines="50"/>
        <w:jc w:val="left"/>
        <w:rPr>
          <w:rFonts w:ascii="仿宋_GB2312" w:hAnsi="宋体" w:eastAsia="仿宋_GB2312"/>
          <w:sz w:val="24"/>
        </w:rPr>
      </w:pPr>
      <w:r>
        <w:rPr>
          <w:rFonts w:hint="eastAsia" w:ascii="仿宋_GB2312" w:hAnsi="宋体" w:eastAsia="仿宋_GB2312"/>
          <w:sz w:val="24"/>
        </w:rPr>
        <w:t>（法定代表人不能参与评定时，须出具本授权书，授权书须法定代表人及被授权人签字或加盖名章，并加盖本单位公章。）</w:t>
      </w:r>
    </w:p>
    <w:p>
      <w:pPr>
        <w:tabs>
          <w:tab w:val="left" w:pos="630"/>
        </w:tabs>
        <w:adjustRightInd w:val="0"/>
        <w:snapToGrid w:val="0"/>
        <w:spacing w:before="156" w:beforeLines="50" w:after="156" w:afterLines="50"/>
        <w:ind w:firstLine="720" w:firstLineChars="300"/>
        <w:rPr>
          <w:rFonts w:ascii="仿宋_GB2312" w:hAnsi="宋体" w:eastAsia="仿宋_GB2312"/>
          <w:sz w:val="24"/>
        </w:rPr>
      </w:pPr>
    </w:p>
    <w:p>
      <w:pPr>
        <w:tabs>
          <w:tab w:val="left" w:pos="630"/>
        </w:tabs>
        <w:adjustRightInd w:val="0"/>
        <w:snapToGrid w:val="0"/>
        <w:spacing w:before="156" w:beforeLines="50" w:after="156" w:afterLines="50"/>
        <w:rPr>
          <w:rFonts w:ascii="仿宋_GB2312" w:hAnsi="宋体" w:eastAsia="仿宋_GB2312"/>
          <w:sz w:val="24"/>
        </w:rPr>
      </w:pPr>
      <w:r>
        <w:rPr>
          <w:rFonts w:hint="eastAsia" w:ascii="仿宋_GB2312" w:hAnsi="宋体" w:eastAsia="仿宋_GB2312"/>
          <w:sz w:val="24"/>
        </w:rPr>
        <w:t>北京市海淀区人力资源公共服务中心：</w:t>
      </w:r>
    </w:p>
    <w:p>
      <w:pPr>
        <w:tabs>
          <w:tab w:val="left" w:pos="630"/>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本授权书声明：</w:t>
      </w:r>
      <w:r>
        <w:rPr>
          <w:rFonts w:hint="eastAsia" w:ascii="仿宋_GB2312" w:hAnsi="宋体" w:eastAsia="仿宋_GB2312"/>
          <w:sz w:val="24"/>
          <w:u w:val="single"/>
        </w:rPr>
        <w:t>（公司名称）</w:t>
      </w:r>
      <w:r>
        <w:rPr>
          <w:rFonts w:hint="eastAsia" w:ascii="仿宋_GB2312" w:hAnsi="宋体" w:eastAsia="仿宋_GB2312"/>
          <w:sz w:val="24"/>
        </w:rPr>
        <w:t>的在下面签字的</w:t>
      </w:r>
      <w:r>
        <w:rPr>
          <w:rFonts w:hint="eastAsia" w:ascii="仿宋_GB2312" w:hAnsi="宋体" w:eastAsia="仿宋_GB2312"/>
          <w:sz w:val="24"/>
          <w:u w:val="single"/>
        </w:rPr>
        <w:t>（法定代表人姓名、职务）</w:t>
      </w:r>
      <w:r>
        <w:rPr>
          <w:rFonts w:hint="eastAsia" w:ascii="仿宋_GB2312" w:hAnsi="宋体" w:eastAsia="仿宋_GB2312"/>
          <w:sz w:val="24"/>
        </w:rPr>
        <w:t>代表本公司授权</w:t>
      </w:r>
      <w:r>
        <w:rPr>
          <w:rFonts w:hint="eastAsia" w:ascii="仿宋_GB2312" w:hAnsi="宋体" w:eastAsia="仿宋_GB2312"/>
          <w:sz w:val="24"/>
          <w:u w:val="single"/>
        </w:rPr>
        <w:t>（公司名称）</w:t>
      </w:r>
      <w:r>
        <w:rPr>
          <w:rFonts w:hint="eastAsia" w:ascii="仿宋_GB2312" w:hAnsi="宋体" w:eastAsia="仿宋_GB2312"/>
          <w:sz w:val="24"/>
        </w:rPr>
        <w:t>的在下面签字的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为本公司的合法代理人，就《202</w:t>
      </w:r>
      <w:r>
        <w:rPr>
          <w:rFonts w:hint="eastAsia" w:ascii="仿宋_GB2312" w:hAnsi="宋体" w:eastAsia="仿宋_GB2312"/>
          <w:sz w:val="24"/>
          <w:lang w:val="en-US" w:eastAsia="zh-CN"/>
        </w:rPr>
        <w:t>4</w:t>
      </w:r>
      <w:r>
        <w:rPr>
          <w:rFonts w:hint="eastAsia" w:ascii="仿宋_GB2312" w:hAnsi="宋体" w:eastAsia="仿宋_GB2312"/>
          <w:sz w:val="24"/>
        </w:rPr>
        <w:t>年度海淀区人力资源公共服务中心业务系统运维服务》项目（项目编号：HDGFZX-PD-202</w:t>
      </w:r>
      <w:r>
        <w:rPr>
          <w:rFonts w:hint="eastAsia" w:ascii="仿宋_GB2312" w:hAnsi="宋体" w:eastAsia="仿宋_GB2312"/>
          <w:sz w:val="24"/>
          <w:lang w:val="en-US" w:eastAsia="zh-CN"/>
        </w:rPr>
        <w:t>4</w:t>
      </w:r>
      <w:r>
        <w:rPr>
          <w:rFonts w:hint="eastAsia" w:ascii="仿宋_GB2312" w:hAnsi="宋体" w:eastAsia="仿宋_GB2312"/>
          <w:sz w:val="24"/>
        </w:rPr>
        <w:t>-01）的评定，以本公司名义处理一切与之有关的事务。</w:t>
      </w:r>
    </w:p>
    <w:p>
      <w:pPr>
        <w:tabs>
          <w:tab w:val="left" w:pos="630"/>
        </w:tabs>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本授权书于      年     月     日签字生效,特此声明。</w:t>
      </w:r>
    </w:p>
    <w:p>
      <w:pPr>
        <w:tabs>
          <w:tab w:val="left" w:pos="630"/>
        </w:tabs>
        <w:adjustRightInd w:val="0"/>
        <w:snapToGrid w:val="0"/>
        <w:spacing w:before="156" w:beforeLines="50" w:after="156" w:afterLines="50"/>
        <w:ind w:firstLine="2640" w:firstLineChars="1100"/>
        <w:rPr>
          <w:rFonts w:ascii="仿宋_GB2312" w:hAnsi="宋体" w:eastAsia="仿宋_GB2312"/>
          <w:sz w:val="24"/>
        </w:rPr>
      </w:pPr>
    </w:p>
    <w:p>
      <w:pPr>
        <w:tabs>
          <w:tab w:val="left" w:pos="630"/>
        </w:tabs>
        <w:adjustRightInd w:val="0"/>
        <w:snapToGrid w:val="0"/>
        <w:spacing w:before="156" w:beforeLines="50" w:after="312" w:afterLines="100"/>
        <w:ind w:firstLine="480" w:firstLineChars="200"/>
        <w:rPr>
          <w:rFonts w:ascii="仿宋_GB2312" w:hAnsi="宋体" w:eastAsia="仿宋_GB2312"/>
          <w:sz w:val="24"/>
        </w:rPr>
      </w:pPr>
      <w:r>
        <w:rPr>
          <w:rFonts w:hint="eastAsia" w:ascii="仿宋_GB2312" w:hAnsi="宋体" w:eastAsia="仿宋_GB2312"/>
          <w:sz w:val="24"/>
        </w:rPr>
        <w:t>法定代表人（签字或名章)：</w:t>
      </w:r>
    </w:p>
    <w:p>
      <w:pPr>
        <w:tabs>
          <w:tab w:val="left" w:pos="630"/>
        </w:tabs>
        <w:adjustRightInd w:val="0"/>
        <w:snapToGrid w:val="0"/>
        <w:spacing w:before="156" w:beforeLines="50" w:after="312" w:afterLines="100"/>
        <w:ind w:firstLine="480" w:firstLineChars="200"/>
        <w:rPr>
          <w:rFonts w:ascii="仿宋_GB2312" w:hAnsi="宋体" w:eastAsia="仿宋_GB2312" w:cs="宋体"/>
          <w:kern w:val="0"/>
          <w:sz w:val="24"/>
        </w:rPr>
      </w:pPr>
      <w:r>
        <w:rPr>
          <w:rFonts w:hint="eastAsia" w:ascii="仿宋_GB2312" w:hAnsi="宋体" w:eastAsia="仿宋_GB2312" w:cs="宋体"/>
          <w:kern w:val="0"/>
          <w:sz w:val="24"/>
        </w:rPr>
        <w:t>被授权人</w:t>
      </w:r>
      <w:r>
        <w:rPr>
          <w:rFonts w:hint="eastAsia" w:ascii="仿宋_GB2312" w:hAnsi="宋体" w:eastAsia="仿宋_GB2312"/>
          <w:sz w:val="24"/>
        </w:rPr>
        <w:t>(签字)：</w:t>
      </w:r>
    </w:p>
    <w:p>
      <w:pPr>
        <w:tabs>
          <w:tab w:val="left" w:pos="630"/>
        </w:tabs>
        <w:adjustRightInd w:val="0"/>
        <w:snapToGrid w:val="0"/>
        <w:spacing w:before="156" w:beforeLines="50" w:after="312" w:afterLines="100"/>
        <w:ind w:firstLine="480" w:firstLineChars="200"/>
        <w:rPr>
          <w:rFonts w:ascii="仿宋_GB2312" w:hAnsi="宋体" w:eastAsia="仿宋_GB2312"/>
          <w:sz w:val="24"/>
        </w:rPr>
      </w:pPr>
      <w:r>
        <w:rPr>
          <w:rFonts w:hint="eastAsia" w:ascii="仿宋_GB2312" w:hAnsi="宋体" w:eastAsia="仿宋_GB2312" w:cs="宋体"/>
          <w:kern w:val="0"/>
          <w:sz w:val="24"/>
        </w:rPr>
        <w:t>供应商</w:t>
      </w:r>
      <w:r>
        <w:rPr>
          <w:rFonts w:hint="eastAsia" w:ascii="仿宋_GB2312" w:hAnsi="宋体" w:eastAsia="仿宋_GB2312"/>
          <w:sz w:val="24"/>
        </w:rPr>
        <w:t>（公章）：</w:t>
      </w:r>
    </w:p>
    <w:p>
      <w:pPr>
        <w:tabs>
          <w:tab w:val="left" w:pos="630"/>
        </w:tabs>
        <w:adjustRightInd w:val="0"/>
        <w:snapToGrid w:val="0"/>
        <w:spacing w:before="156" w:beforeLines="50" w:after="156" w:afterLines="50"/>
        <w:rPr>
          <w:rFonts w:ascii="仿宋_GB2312" w:hAnsi="宋体" w:eastAsia="仿宋_GB2312"/>
          <w:sz w:val="24"/>
        </w:rPr>
      </w:pPr>
    </w:p>
    <w:p>
      <w:pPr>
        <w:tabs>
          <w:tab w:val="left" w:pos="630"/>
        </w:tabs>
        <w:adjustRightInd w:val="0"/>
        <w:snapToGrid w:val="0"/>
        <w:spacing w:before="156" w:beforeLines="50" w:after="156" w:afterLines="50"/>
        <w:ind w:firstLine="480" w:firstLineChars="200"/>
        <w:rPr>
          <w:rFonts w:ascii="仿宋_GB2312" w:hAnsi="宋体" w:eastAsia="仿宋_GB2312"/>
          <w:sz w:val="24"/>
        </w:rPr>
      </w:pPr>
      <w:r>
        <w:rPr>
          <w:rFonts w:hint="eastAsia" w:ascii="仿宋_GB2312" w:hAnsi="宋体" w:eastAsia="仿宋_GB2312"/>
          <w:sz w:val="24"/>
        </w:rPr>
        <w:t>被授权人姓名：</w:t>
      </w:r>
    </w:p>
    <w:p>
      <w:pPr>
        <w:tabs>
          <w:tab w:val="left" w:pos="630"/>
        </w:tabs>
        <w:adjustRightInd w:val="0"/>
        <w:snapToGrid w:val="0"/>
        <w:spacing w:before="156" w:beforeLines="50" w:after="156" w:afterLines="50"/>
        <w:ind w:firstLine="480" w:firstLineChars="200"/>
        <w:rPr>
          <w:rFonts w:ascii="仿宋_GB2312" w:hAnsi="宋体" w:eastAsia="仿宋_GB2312"/>
          <w:sz w:val="24"/>
        </w:rPr>
      </w:pPr>
      <w:r>
        <w:rPr>
          <w:rFonts w:hint="eastAsia" w:ascii="仿宋_GB2312" w:hAnsi="宋体" w:eastAsia="仿宋_GB2312"/>
          <w:sz w:val="24"/>
        </w:rPr>
        <w:t>身份证号码：</w:t>
      </w:r>
    </w:p>
    <w:p>
      <w:pPr>
        <w:tabs>
          <w:tab w:val="left" w:pos="630"/>
        </w:tabs>
        <w:adjustRightInd w:val="0"/>
        <w:snapToGrid w:val="0"/>
        <w:spacing w:before="156" w:beforeLines="50" w:after="156" w:afterLines="50"/>
        <w:rPr>
          <w:rFonts w:ascii="仿宋_GB2312" w:hAnsi="宋体" w:eastAsia="仿宋_GB2312"/>
          <w:sz w:val="24"/>
        </w:rPr>
      </w:pPr>
      <w:r>
        <w:rPr>
          <w:rFonts w:hint="eastAsia" w:ascii="仿宋_GB2312" w:hAnsi="宋体" w:eastAsia="仿宋_GB2312"/>
          <w:sz w:val="24"/>
        </w:rPr>
        <w:t xml:space="preserve">    电话：</w:t>
      </w:r>
    </w:p>
    <w:p>
      <w:pPr>
        <w:tabs>
          <w:tab w:val="left" w:pos="630"/>
        </w:tabs>
        <w:adjustRightInd w:val="0"/>
        <w:snapToGrid w:val="0"/>
        <w:spacing w:before="156" w:beforeLines="50" w:after="156" w:afterLines="50"/>
        <w:ind w:firstLine="480" w:firstLineChars="200"/>
        <w:rPr>
          <w:rFonts w:ascii="仿宋_GB2312" w:eastAsia="仿宋_GB2312"/>
          <w:sz w:val="30"/>
          <w:szCs w:val="30"/>
        </w:rPr>
      </w:pPr>
      <w:r>
        <w:rPr>
          <w:rFonts w:hint="eastAsia" w:ascii="仿宋_GB2312" w:hAnsi="宋体" w:eastAsia="仿宋_GB2312"/>
          <w:sz w:val="24"/>
        </w:rPr>
        <w:t>手机：</w:t>
      </w:r>
    </w:p>
    <w:p>
      <w:pPr>
        <w:spacing w:line="360" w:lineRule="auto"/>
        <w:rPr>
          <w:rFonts w:ascii="仿宋_GB2312" w:hAnsi="仿宋" w:eastAsia="仿宋_GB2312" w:cs="仿宋"/>
          <w:sz w:val="28"/>
          <w:szCs w:val="28"/>
        </w:rPr>
      </w:pPr>
    </w:p>
    <w:p>
      <w:pPr>
        <w:spacing w:line="360" w:lineRule="auto"/>
        <w:rPr>
          <w:rFonts w:ascii="仿宋_GB2312" w:hAnsi="仿宋" w:eastAsia="仿宋_GB2312" w:cs="仿宋"/>
          <w:sz w:val="28"/>
          <w:szCs w:val="28"/>
        </w:rPr>
      </w:pPr>
    </w:p>
    <w:p>
      <w:pPr>
        <w:widowControl/>
        <w:jc w:val="left"/>
        <w:rPr>
          <w:rFonts w:ascii="仿宋_GB2312" w:hAnsi="仿宋" w:eastAsia="仿宋_GB2312" w:cs="仿宋"/>
          <w:sz w:val="28"/>
          <w:szCs w:val="28"/>
        </w:rPr>
      </w:pPr>
      <w:r>
        <w:rPr>
          <w:rFonts w:hint="eastAsia" w:ascii="仿宋_GB2312" w:hAnsi="仿宋" w:eastAsia="仿宋_GB2312" w:cs="仿宋"/>
          <w:sz w:val="28"/>
          <w:szCs w:val="28"/>
        </w:rPr>
        <w:br w:type="page"/>
      </w:r>
    </w:p>
    <w:p>
      <w:pPr>
        <w:tabs>
          <w:tab w:val="left" w:pos="630"/>
        </w:tabs>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附件5</w:t>
      </w:r>
    </w:p>
    <w:p>
      <w:pPr>
        <w:spacing w:before="156" w:beforeLines="50" w:after="468" w:afterLines="150"/>
        <w:jc w:val="center"/>
        <w:rPr>
          <w:rFonts w:ascii="仿宋_GB2312" w:hAnsi="宋体" w:eastAsia="仿宋_GB2312"/>
          <w:b/>
          <w:sz w:val="36"/>
          <w:szCs w:val="36"/>
        </w:rPr>
      </w:pPr>
      <w:r>
        <w:rPr>
          <w:rFonts w:hint="eastAsia" w:ascii="仿宋_GB2312" w:hAnsi="宋体" w:eastAsia="仿宋_GB2312"/>
          <w:b/>
          <w:sz w:val="36"/>
          <w:szCs w:val="36"/>
        </w:rPr>
        <w:t>评定承诺书</w:t>
      </w:r>
    </w:p>
    <w:p>
      <w:pPr>
        <w:snapToGrid w:val="0"/>
        <w:spacing w:line="300" w:lineRule="auto"/>
        <w:ind w:firstLine="600" w:firstLineChars="200"/>
        <w:rPr>
          <w:rFonts w:ascii="仿宋_GB2312" w:hAnsi="宋体" w:eastAsia="仿宋_GB2312"/>
          <w:sz w:val="30"/>
          <w:szCs w:val="30"/>
        </w:rPr>
      </w:pPr>
      <w:r>
        <w:rPr>
          <w:rFonts w:hint="eastAsia" w:ascii="仿宋_GB2312" w:hAnsi="宋体" w:eastAsia="仿宋_GB2312"/>
          <w:sz w:val="30"/>
          <w:szCs w:val="30"/>
        </w:rPr>
        <w:t>我方作为北京市海淀区定点采购供应商，在协议有效期内参与本项目评定采购时郑重承诺：</w:t>
      </w:r>
    </w:p>
    <w:p>
      <w:pPr>
        <w:snapToGrid w:val="0"/>
        <w:spacing w:line="300" w:lineRule="auto"/>
        <w:ind w:firstLine="600" w:firstLineChars="200"/>
        <w:rPr>
          <w:rFonts w:ascii="仿宋_GB2312" w:hAnsi="宋体" w:eastAsia="仿宋_GB2312"/>
          <w:sz w:val="30"/>
          <w:szCs w:val="30"/>
        </w:rPr>
      </w:pPr>
      <w:r>
        <w:rPr>
          <w:rFonts w:hint="eastAsia" w:ascii="仿宋_GB2312" w:hAnsi="宋体" w:eastAsia="仿宋_GB2312"/>
          <w:sz w:val="30"/>
          <w:szCs w:val="30"/>
        </w:rPr>
        <w:t>一、遵循公开、公平、公正和诚实信用的原则，履行本项目评定承诺，遵守本项目评定文件规定，按照《海淀区政府集中采购评定工作（试点）实施细则》规定的程序参与评定活动。</w:t>
      </w:r>
    </w:p>
    <w:p>
      <w:pPr>
        <w:snapToGrid w:val="0"/>
        <w:spacing w:line="300" w:lineRule="auto"/>
        <w:ind w:firstLine="600" w:firstLineChars="200"/>
        <w:rPr>
          <w:rFonts w:ascii="仿宋_GB2312" w:hAnsi="宋体" w:eastAsia="仿宋_GB2312"/>
          <w:sz w:val="30"/>
          <w:szCs w:val="30"/>
        </w:rPr>
      </w:pPr>
      <w:r>
        <w:rPr>
          <w:rFonts w:hint="eastAsia" w:ascii="仿宋_GB2312" w:hAnsi="宋体" w:eastAsia="仿宋_GB2312"/>
          <w:sz w:val="30"/>
          <w:szCs w:val="30"/>
        </w:rPr>
        <w:t>二、报价及相关材料真实有效，能够满足采购单位在评定文件中提出的所有要求，保证货物（服务）质量，杜绝以低于成本的价格恶意竞争，并接受采购人和海淀区财政局组织的货物（服务）质量抽检。</w:t>
      </w:r>
    </w:p>
    <w:p>
      <w:pPr>
        <w:snapToGrid w:val="0"/>
        <w:spacing w:line="300" w:lineRule="auto"/>
        <w:ind w:firstLine="600" w:firstLineChars="200"/>
        <w:rPr>
          <w:rFonts w:ascii="仿宋_GB2312" w:hAnsi="宋体" w:eastAsia="仿宋_GB2312"/>
          <w:sz w:val="30"/>
          <w:szCs w:val="30"/>
        </w:rPr>
      </w:pPr>
      <w:r>
        <w:rPr>
          <w:rFonts w:hint="eastAsia" w:ascii="仿宋_GB2312" w:hAnsi="宋体" w:eastAsia="仿宋_GB2312"/>
          <w:sz w:val="30"/>
          <w:szCs w:val="30"/>
        </w:rPr>
        <w:t>三、不与其他评定人、采购人相互串通报价，不恶意压低或抬高价格，不排挤其他评定人，不损害国家利益、社会公共利益或者他人的合法权益。</w:t>
      </w:r>
    </w:p>
    <w:p>
      <w:pPr>
        <w:snapToGrid w:val="0"/>
        <w:spacing w:line="300" w:lineRule="auto"/>
        <w:ind w:firstLine="600" w:firstLineChars="200"/>
        <w:rPr>
          <w:rFonts w:ascii="仿宋_GB2312" w:hAnsi="宋体" w:eastAsia="仿宋_GB2312"/>
          <w:sz w:val="30"/>
          <w:szCs w:val="30"/>
        </w:rPr>
      </w:pPr>
      <w:r>
        <w:rPr>
          <w:rFonts w:hint="eastAsia" w:ascii="仿宋_GB2312" w:hAnsi="宋体" w:eastAsia="仿宋_GB2312"/>
          <w:sz w:val="30"/>
          <w:szCs w:val="30"/>
        </w:rPr>
        <w:t>四、不出卖、出租资质，不将评定成交项目转让给他人。</w:t>
      </w:r>
    </w:p>
    <w:p>
      <w:pPr>
        <w:snapToGrid w:val="0"/>
        <w:spacing w:line="300" w:lineRule="auto"/>
        <w:ind w:firstLine="600" w:firstLineChars="200"/>
        <w:rPr>
          <w:rFonts w:ascii="仿宋_GB2312" w:hAnsi="宋体" w:eastAsia="仿宋_GB2312"/>
          <w:sz w:val="30"/>
          <w:szCs w:val="30"/>
        </w:rPr>
      </w:pPr>
      <w:r>
        <w:rPr>
          <w:rFonts w:hint="eastAsia" w:ascii="仿宋_GB2312" w:hAnsi="宋体" w:eastAsia="仿宋_GB2312"/>
          <w:sz w:val="30"/>
          <w:szCs w:val="30"/>
        </w:rPr>
        <w:t>五、我方认真履行成交结果，按评定文件要求与采购单位签订政府采购合同、提供相关货物（服务）。</w:t>
      </w:r>
    </w:p>
    <w:p>
      <w:pPr>
        <w:snapToGrid w:val="0"/>
        <w:spacing w:line="300" w:lineRule="auto"/>
        <w:ind w:firstLine="600" w:firstLineChars="200"/>
        <w:rPr>
          <w:rFonts w:ascii="仿宋_GB2312" w:hAnsi="宋体" w:eastAsia="仿宋_GB2312"/>
          <w:sz w:val="30"/>
          <w:szCs w:val="30"/>
        </w:rPr>
      </w:pPr>
      <w:r>
        <w:rPr>
          <w:rFonts w:hint="eastAsia" w:ascii="仿宋_GB2312" w:hAnsi="宋体" w:eastAsia="仿宋_GB2312"/>
          <w:sz w:val="30"/>
          <w:szCs w:val="30"/>
        </w:rPr>
        <w:t>六、评定成交后不按评定承诺提供货物（服务）的，接受终止我方海淀区评定采购资格等处理。</w:t>
      </w:r>
    </w:p>
    <w:p>
      <w:pPr>
        <w:snapToGrid w:val="0"/>
        <w:spacing w:line="400" w:lineRule="exact"/>
        <w:ind w:firstLine="600" w:firstLineChars="200"/>
        <w:rPr>
          <w:rFonts w:ascii="仿宋_GB2312" w:hAnsi="宋体" w:eastAsia="仿宋_GB2312"/>
          <w:sz w:val="30"/>
          <w:szCs w:val="30"/>
        </w:rPr>
      </w:pPr>
      <w:r>
        <w:rPr>
          <w:rFonts w:hint="eastAsia" w:ascii="仿宋_GB2312" w:hAnsi="宋体" w:eastAsia="仿宋_GB2312"/>
          <w:sz w:val="30"/>
          <w:szCs w:val="30"/>
        </w:rPr>
        <w:t>我方若有违反本承诺内容的行为，愿意承担相应的违约责任或法律责任。</w:t>
      </w:r>
    </w:p>
    <w:p>
      <w:pPr>
        <w:spacing w:before="312" w:beforeLines="100" w:after="156" w:afterLines="50" w:line="400" w:lineRule="exact"/>
        <w:ind w:firstLine="600" w:firstLineChars="200"/>
        <w:rPr>
          <w:rFonts w:ascii="仿宋_GB2312" w:hAnsi="宋体" w:eastAsia="仿宋_GB2312"/>
          <w:sz w:val="30"/>
          <w:szCs w:val="30"/>
        </w:rPr>
      </w:pPr>
      <w:r>
        <w:rPr>
          <w:rFonts w:hint="eastAsia" w:ascii="仿宋_GB2312" w:hAnsi="宋体" w:eastAsia="仿宋_GB2312"/>
          <w:sz w:val="30"/>
          <w:szCs w:val="30"/>
        </w:rPr>
        <w:t>承诺方全称（公章）：</w:t>
      </w:r>
    </w:p>
    <w:p>
      <w:pPr>
        <w:spacing w:before="156" w:beforeLines="50" w:after="312" w:afterLines="100" w:line="400" w:lineRule="exact"/>
        <w:ind w:firstLine="600" w:firstLineChars="200"/>
        <w:rPr>
          <w:rFonts w:ascii="仿宋_GB2312" w:hAnsi="宋体" w:eastAsia="仿宋_GB2312"/>
          <w:sz w:val="30"/>
          <w:szCs w:val="30"/>
        </w:rPr>
      </w:pPr>
      <w:r>
        <w:rPr>
          <w:rFonts w:hint="eastAsia" w:ascii="仿宋_GB2312" w:hAnsi="宋体" w:eastAsia="仿宋_GB2312"/>
          <w:sz w:val="30"/>
          <w:szCs w:val="30"/>
        </w:rPr>
        <w:t>承诺方代表（签字）：</w:t>
      </w:r>
    </w:p>
    <w:p>
      <w:pPr>
        <w:wordWrap w:val="0"/>
        <w:spacing w:line="520" w:lineRule="exact"/>
        <w:ind w:firstLine="600" w:firstLineChars="200"/>
        <w:jc w:val="right"/>
        <w:rPr>
          <w:rFonts w:ascii="仿宋_GB2312" w:hAnsi="宋体"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 xml:space="preserve">年   月    日  </w:t>
      </w:r>
    </w:p>
    <w:p>
      <w:pPr>
        <w:widowControl/>
        <w:jc w:val="left"/>
        <w:rPr>
          <w:rFonts w:ascii="仿宋_GB2312" w:hAnsi="宋体" w:eastAsia="仿宋_GB2312"/>
          <w:sz w:val="32"/>
          <w:szCs w:val="32"/>
        </w:rPr>
      </w:pPr>
      <w:r>
        <w:rPr>
          <w:rFonts w:hint="eastAsia" w:ascii="仿宋_GB2312" w:hAnsi="宋体" w:eastAsia="仿宋_GB2312"/>
          <w:sz w:val="32"/>
          <w:szCs w:val="32"/>
        </w:rPr>
        <w:br w:type="page"/>
      </w:r>
    </w:p>
    <w:p>
      <w:pPr>
        <w:tabs>
          <w:tab w:val="left" w:pos="630"/>
        </w:tabs>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附件6</w:t>
      </w:r>
    </w:p>
    <w:p>
      <w:pPr>
        <w:widowControl/>
        <w:jc w:val="center"/>
        <w:rPr>
          <w:rFonts w:ascii="仿宋_GB2312" w:hAnsi="宋体" w:eastAsia="仿宋_GB2312" w:cs="宋体"/>
          <w:b/>
          <w:kern w:val="0"/>
          <w:sz w:val="36"/>
          <w:szCs w:val="36"/>
        </w:rPr>
      </w:pPr>
      <w:r>
        <w:rPr>
          <w:rFonts w:hint="eastAsia" w:ascii="仿宋_GB2312" w:hAnsi="宋体" w:eastAsia="仿宋_GB2312" w:cs="宋体"/>
          <w:b/>
          <w:kern w:val="0"/>
          <w:sz w:val="36"/>
          <w:szCs w:val="36"/>
        </w:rPr>
        <w:t>评定供应商签到表</w:t>
      </w:r>
    </w:p>
    <w:p>
      <w:pPr>
        <w:widowControl/>
        <w:ind w:left="1699" w:hanging="1699" w:hangingChars="531"/>
        <w:rPr>
          <w:rFonts w:ascii="仿宋_GB2312" w:hAnsi="宋体" w:eastAsia="仿宋_GB2312" w:cs="宋体"/>
          <w:kern w:val="0"/>
          <w:sz w:val="32"/>
          <w:szCs w:val="32"/>
        </w:rPr>
      </w:pPr>
      <w:r>
        <w:rPr>
          <w:rFonts w:hint="eastAsia" w:ascii="仿宋_GB2312" w:hAnsi="宋体" w:eastAsia="仿宋_GB2312" w:cs="宋体"/>
          <w:kern w:val="0"/>
          <w:sz w:val="32"/>
          <w:szCs w:val="32"/>
        </w:rPr>
        <w:t>项目名称：202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年度海淀区人力资源公共服务中心业务系统运维服务</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项目编号：HDGFZX-PD-202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-01</w:t>
      </w:r>
    </w:p>
    <w:p>
      <w:pPr>
        <w:rPr>
          <w:rFonts w:ascii="仿宋_GB2312" w:eastAsia="仿宋_GB2312"/>
        </w:rPr>
      </w:pPr>
    </w:p>
    <w:tbl>
      <w:tblPr>
        <w:tblStyle w:val="9"/>
        <w:tblW w:w="9639" w:type="dxa"/>
        <w:tblInd w:w="-459" w:type="dxa"/>
        <w:tblLayout w:type="autofit"/>
        <w:tblCellMar>
          <w:top w:w="0" w:type="dxa"/>
          <w:left w:w="108" w:type="dxa"/>
          <w:bottom w:w="0" w:type="dxa"/>
          <w:right w:w="108" w:type="dxa"/>
        </w:tblCellMar>
      </w:tblPr>
      <w:tblGrid>
        <w:gridCol w:w="851"/>
        <w:gridCol w:w="3118"/>
        <w:gridCol w:w="1985"/>
        <w:gridCol w:w="1843"/>
        <w:gridCol w:w="1842"/>
      </w:tblGrid>
      <w:tr>
        <w:tblPrEx>
          <w:tblCellMar>
            <w:top w:w="0" w:type="dxa"/>
            <w:left w:w="108" w:type="dxa"/>
            <w:bottom w:w="0" w:type="dxa"/>
            <w:right w:w="108" w:type="dxa"/>
          </w:tblCellMar>
        </w:tblPrEx>
        <w:trPr>
          <w:trHeight w:val="6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供应商名称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授权人</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3</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bl>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评定时间：202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年xx月xx日xx时</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评定地点：北京市海淀区西四环北路73号北区316房间</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br w:type="page"/>
      </w:r>
    </w:p>
    <w:p>
      <w:pPr>
        <w:tabs>
          <w:tab w:val="left" w:pos="630"/>
        </w:tabs>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附件7</w:t>
      </w:r>
    </w:p>
    <w:p>
      <w:pPr>
        <w:spacing w:after="156" w:afterLines="50"/>
        <w:jc w:val="center"/>
        <w:rPr>
          <w:rFonts w:ascii="仿宋_GB2312" w:hAnsi="宋体" w:eastAsia="仿宋_GB2312"/>
          <w:b/>
          <w:sz w:val="36"/>
          <w:szCs w:val="36"/>
        </w:rPr>
      </w:pPr>
      <w:r>
        <w:rPr>
          <w:rFonts w:hint="eastAsia" w:ascii="仿宋_GB2312" w:hAnsi="宋体" w:eastAsia="仿宋_GB2312"/>
          <w:b/>
          <w:sz w:val="36"/>
          <w:szCs w:val="36"/>
        </w:rPr>
        <w:t>评定结果确认表</w:t>
      </w:r>
    </w:p>
    <w:p>
      <w:pPr>
        <w:snapToGrid w:val="0"/>
        <w:rPr>
          <w:rFonts w:ascii="仿宋_GB2312" w:hAnsi="宋体" w:eastAsia="仿宋_GB2312"/>
          <w:sz w:val="24"/>
        </w:rPr>
      </w:pPr>
      <w:r>
        <w:rPr>
          <w:rFonts w:hint="eastAsia" w:ascii="仿宋_GB2312" w:hAnsi="宋体" w:eastAsia="仿宋_GB2312"/>
          <w:sz w:val="24"/>
        </w:rPr>
        <w:t>项目名称：202</w:t>
      </w:r>
      <w:r>
        <w:rPr>
          <w:rFonts w:hint="eastAsia" w:ascii="仿宋_GB2312" w:hAnsi="宋体" w:eastAsia="仿宋_GB2312"/>
          <w:sz w:val="24"/>
          <w:lang w:val="en-US" w:eastAsia="zh-CN"/>
        </w:rPr>
        <w:t>4</w:t>
      </w:r>
      <w:r>
        <w:rPr>
          <w:rFonts w:hint="eastAsia" w:ascii="仿宋_GB2312" w:hAnsi="宋体" w:eastAsia="仿宋_GB2312"/>
          <w:sz w:val="24"/>
        </w:rPr>
        <w:t>年度海淀区人力资源公共服务中心业务系统运维服务</w:t>
      </w:r>
    </w:p>
    <w:p>
      <w:pPr>
        <w:snapToGrid w:val="0"/>
        <w:rPr>
          <w:rFonts w:ascii="仿宋_GB2312" w:hAnsi="宋体" w:eastAsia="仿宋_GB2312" w:cs="宋体"/>
          <w:bCs/>
          <w:kern w:val="0"/>
          <w:sz w:val="24"/>
        </w:rPr>
      </w:pPr>
      <w:r>
        <w:rPr>
          <w:rFonts w:hint="eastAsia" w:ascii="仿宋_GB2312" w:hAnsi="宋体" w:eastAsia="仿宋_GB2312"/>
          <w:sz w:val="24"/>
        </w:rPr>
        <w:t>项目编号：HDGFZX-PD-202</w:t>
      </w:r>
      <w:r>
        <w:rPr>
          <w:rFonts w:hint="eastAsia" w:ascii="仿宋_GB2312" w:hAnsi="宋体" w:eastAsia="仿宋_GB2312"/>
          <w:sz w:val="24"/>
          <w:lang w:val="en-US" w:eastAsia="zh-CN"/>
        </w:rPr>
        <w:t>4</w:t>
      </w:r>
      <w:r>
        <w:rPr>
          <w:rFonts w:hint="eastAsia" w:ascii="仿宋_GB2312" w:hAnsi="宋体" w:eastAsia="仿宋_GB2312"/>
          <w:sz w:val="24"/>
        </w:rPr>
        <w:t>-01</w:t>
      </w:r>
    </w:p>
    <w:p>
      <w:pPr>
        <w:snapToGrid w:val="0"/>
        <w:ind w:firstLine="420" w:firstLineChars="150"/>
        <w:rPr>
          <w:rFonts w:ascii="仿宋_GB2312" w:hAnsi="宋体" w:eastAsia="仿宋_GB2312" w:cs="宋体"/>
          <w:bCs/>
          <w:kern w:val="0"/>
          <w:sz w:val="28"/>
          <w:szCs w:val="28"/>
        </w:rPr>
      </w:pPr>
    </w:p>
    <w:p>
      <w:pPr>
        <w:snapToGrid w:val="0"/>
        <w:rPr>
          <w:rFonts w:ascii="仿宋_GB2312" w:hAnsi="宋体" w:eastAsia="仿宋_GB2312" w:cs="宋体"/>
          <w:bCs/>
          <w:kern w:val="0"/>
          <w:sz w:val="28"/>
          <w:szCs w:val="28"/>
        </w:rPr>
      </w:pPr>
      <w:r>
        <w:rPr>
          <w:rFonts w:hint="eastAsia" w:ascii="仿宋_GB2312" w:hAnsi="宋体" w:eastAsia="仿宋_GB2312" w:cs="宋体"/>
          <w:bCs/>
          <w:kern w:val="0"/>
          <w:sz w:val="28"/>
          <w:szCs w:val="28"/>
        </w:rPr>
        <w:t>截至评定结束，所有参与评定供应商最终得分从高到低排名如下：</w:t>
      </w:r>
    </w:p>
    <w:tbl>
      <w:tblPr>
        <w:tblStyle w:val="9"/>
        <w:tblW w:w="9371" w:type="dxa"/>
        <w:tblInd w:w="-537" w:type="dxa"/>
        <w:tblLayout w:type="autofit"/>
        <w:tblCellMar>
          <w:top w:w="0" w:type="dxa"/>
          <w:left w:w="108" w:type="dxa"/>
          <w:bottom w:w="0" w:type="dxa"/>
          <w:right w:w="108" w:type="dxa"/>
        </w:tblCellMar>
      </w:tblPr>
      <w:tblGrid>
        <w:gridCol w:w="900"/>
        <w:gridCol w:w="4218"/>
        <w:gridCol w:w="1701"/>
        <w:gridCol w:w="2552"/>
      </w:tblGrid>
      <w:tr>
        <w:tblPrEx>
          <w:tblCellMar>
            <w:top w:w="0" w:type="dxa"/>
            <w:left w:w="108" w:type="dxa"/>
            <w:bottom w:w="0" w:type="dxa"/>
            <w:right w:w="108" w:type="dxa"/>
          </w:tblCellMar>
        </w:tblPrEx>
        <w:trPr>
          <w:trHeight w:val="28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4218" w:type="dxa"/>
            <w:tcBorders>
              <w:top w:val="single" w:color="000000" w:sz="4" w:space="0"/>
              <w:left w:val="nil"/>
              <w:bottom w:val="nil"/>
              <w:right w:val="single" w:color="auto" w:sz="4" w:space="0"/>
            </w:tcBorders>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供应商名称</w:t>
            </w:r>
          </w:p>
        </w:tc>
        <w:tc>
          <w:tcPr>
            <w:tcW w:w="1701" w:type="dxa"/>
            <w:tcBorders>
              <w:top w:val="single" w:color="auto" w:sz="4" w:space="0"/>
              <w:left w:val="single" w:color="auto" w:sz="4" w:space="0"/>
              <w:bottom w:val="single" w:color="auto" w:sz="4" w:space="0"/>
              <w:right w:val="single" w:color="auto" w:sz="4" w:space="0"/>
            </w:tcBorders>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最终得分</w:t>
            </w:r>
          </w:p>
        </w:tc>
        <w:tc>
          <w:tcPr>
            <w:tcW w:w="255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最终报价(元)</w:t>
            </w:r>
          </w:p>
        </w:tc>
      </w:tr>
      <w:tr>
        <w:tblPrEx>
          <w:tblCellMar>
            <w:top w:w="0" w:type="dxa"/>
            <w:left w:w="108" w:type="dxa"/>
            <w:bottom w:w="0" w:type="dxa"/>
            <w:right w:w="108" w:type="dxa"/>
          </w:tblCellMar>
        </w:tblPrEx>
        <w:trPr>
          <w:trHeight w:val="284"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4218"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left"/>
              <w:rPr>
                <w:rFonts w:ascii="仿宋_GB2312" w:hAnsi="宋体" w:eastAsia="仿宋_GB2312" w:cs="宋体"/>
                <w:kern w:val="0"/>
                <w:sz w:val="28"/>
                <w:szCs w:val="28"/>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righ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84"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421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_GB2312" w:hAnsi="宋体" w:eastAsia="仿宋_GB2312" w:cs="宋体"/>
                <w:kern w:val="0"/>
                <w:sz w:val="28"/>
                <w:szCs w:val="28"/>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snapToGrid w:val="0"/>
              <w:ind w:left="34" w:hanging="33" w:hangingChars="12"/>
              <w:jc w:val="righ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84"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421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_GB2312" w:hAnsi="宋体" w:eastAsia="仿宋_GB2312" w:cs="宋体"/>
                <w:kern w:val="0"/>
                <w:sz w:val="28"/>
                <w:szCs w:val="28"/>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righ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84"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p>
        </w:tc>
        <w:tc>
          <w:tcPr>
            <w:tcW w:w="421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_GB2312" w:hAnsi="宋体" w:eastAsia="仿宋_GB2312" w:cs="宋体"/>
                <w:kern w:val="0"/>
                <w:sz w:val="28"/>
                <w:szCs w:val="28"/>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righ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84"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p>
        </w:tc>
        <w:tc>
          <w:tcPr>
            <w:tcW w:w="421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_GB2312" w:hAnsi="宋体" w:eastAsia="仿宋_GB2312" w:cs="宋体"/>
                <w:kern w:val="0"/>
                <w:sz w:val="28"/>
                <w:szCs w:val="28"/>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righ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84"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p>
        </w:tc>
        <w:tc>
          <w:tcPr>
            <w:tcW w:w="42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righ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84"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p>
        </w:tc>
        <w:tc>
          <w:tcPr>
            <w:tcW w:w="42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righ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84"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p>
        </w:tc>
        <w:tc>
          <w:tcPr>
            <w:tcW w:w="42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righ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84"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宋体" w:eastAsia="仿宋_GB2312" w:cs="宋体"/>
                <w:kern w:val="0"/>
                <w:sz w:val="28"/>
                <w:szCs w:val="28"/>
              </w:rPr>
            </w:pPr>
          </w:p>
        </w:tc>
        <w:tc>
          <w:tcPr>
            <w:tcW w:w="4218" w:type="dxa"/>
            <w:tcBorders>
              <w:top w:val="nil"/>
              <w:left w:val="nil"/>
              <w:bottom w:val="single" w:color="auto" w:sz="4" w:space="0"/>
              <w:right w:val="single" w:color="auto" w:sz="4" w:space="0"/>
            </w:tcBorders>
            <w:shd w:val="clear" w:color="auto" w:fill="auto"/>
            <w:noWrap/>
            <w:vAlign w:val="center"/>
          </w:tcPr>
          <w:p>
            <w:pPr>
              <w:widowControl/>
              <w:snapToGrid w:val="0"/>
              <w:jc w:val="left"/>
              <w:rPr>
                <w:rFonts w:ascii="仿宋_GB2312" w:hAnsi="宋体" w:eastAsia="仿宋_GB2312" w:cs="宋体"/>
                <w:kern w:val="0"/>
                <w:sz w:val="28"/>
                <w:szCs w:val="28"/>
              </w:rPr>
            </w:pPr>
          </w:p>
        </w:tc>
        <w:tc>
          <w:tcPr>
            <w:tcW w:w="1701" w:type="dxa"/>
            <w:tcBorders>
              <w:top w:val="single" w:color="auto" w:sz="4" w:space="0"/>
              <w:left w:val="nil"/>
              <w:bottom w:val="single" w:color="auto" w:sz="4" w:space="0"/>
              <w:right w:val="single" w:color="auto" w:sz="4" w:space="0"/>
            </w:tcBorders>
          </w:tcPr>
          <w:p>
            <w:pPr>
              <w:widowControl/>
              <w:snapToGrid w:val="0"/>
              <w:jc w:val="right"/>
              <w:rPr>
                <w:rFonts w:ascii="仿宋_GB2312" w:hAnsi="宋体" w:eastAsia="仿宋_GB2312" w:cs="宋体"/>
                <w:kern w:val="0"/>
                <w:sz w:val="28"/>
                <w:szCs w:val="28"/>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right"/>
              <w:rPr>
                <w:rFonts w:ascii="仿宋_GB2312" w:hAnsi="宋体" w:eastAsia="仿宋_GB2312" w:cs="宋体"/>
                <w:kern w:val="0"/>
                <w:sz w:val="28"/>
                <w:szCs w:val="28"/>
              </w:rPr>
            </w:pPr>
          </w:p>
        </w:tc>
      </w:tr>
    </w:tbl>
    <w:p>
      <w:pPr>
        <w:spacing w:before="156" w:beforeLines="50" w:line="360" w:lineRule="auto"/>
        <w:ind w:firstLine="560" w:firstLineChars="200"/>
        <w:rPr>
          <w:rFonts w:ascii="仿宋_GB2312" w:hAnsi="宋体" w:eastAsia="仿宋_GB2312" w:cs="宋体"/>
          <w:bCs/>
          <w:kern w:val="0"/>
          <w:sz w:val="28"/>
          <w:szCs w:val="28"/>
        </w:rPr>
      </w:pPr>
      <w:r>
        <w:rPr>
          <w:rFonts w:hint="eastAsia" w:ascii="仿宋_GB2312" w:hAnsi="宋体" w:eastAsia="仿宋_GB2312"/>
          <w:sz w:val="28"/>
          <w:szCs w:val="28"/>
        </w:rPr>
        <w:t>根据</w:t>
      </w:r>
      <w:bookmarkStart w:id="12" w:name="_Toc308513214"/>
      <w:bookmarkStart w:id="13" w:name="_Toc268077448"/>
      <w:bookmarkStart w:id="14" w:name="_Toc269138185"/>
      <w:bookmarkStart w:id="15" w:name="_Toc268193516"/>
      <w:r>
        <w:rPr>
          <w:rFonts w:hint="eastAsia" w:ascii="仿宋_GB2312" w:hAnsi="宋体" w:eastAsia="仿宋_GB2312"/>
          <w:sz w:val="28"/>
          <w:szCs w:val="28"/>
        </w:rPr>
        <w:t>本项目</w:t>
      </w:r>
      <w:r>
        <w:rPr>
          <w:rFonts w:hint="eastAsia" w:ascii="仿宋_GB2312" w:eastAsia="仿宋_GB2312" w:cs="宋体"/>
          <w:kern w:val="0"/>
          <w:sz w:val="28"/>
          <w:szCs w:val="28"/>
        </w:rPr>
        <w:t>评定文件</w:t>
      </w:r>
      <w:bookmarkEnd w:id="12"/>
      <w:bookmarkEnd w:id="13"/>
      <w:bookmarkEnd w:id="14"/>
      <w:bookmarkEnd w:id="15"/>
      <w:r>
        <w:rPr>
          <w:rFonts w:hint="eastAsia" w:ascii="仿宋_GB2312" w:eastAsia="仿宋_GB2312" w:cs="宋体"/>
          <w:kern w:val="0"/>
          <w:sz w:val="28"/>
          <w:szCs w:val="28"/>
        </w:rPr>
        <w:t>中</w:t>
      </w:r>
      <w:r>
        <w:rPr>
          <w:rFonts w:hint="eastAsia" w:ascii="仿宋_GB2312" w:hAnsi="宋体" w:eastAsia="仿宋_GB2312"/>
          <w:sz w:val="28"/>
          <w:szCs w:val="28"/>
        </w:rPr>
        <w:t>确定成交供应商遵循的原则，确定</w:t>
      </w:r>
      <w:r>
        <w:rPr>
          <w:rFonts w:hint="eastAsia" w:ascii="仿宋_GB2312" w:hAnsi="宋体" w:eastAsia="仿宋_GB2312" w:cs="宋体"/>
          <w:bCs/>
          <w:kern w:val="0"/>
          <w:sz w:val="28"/>
          <w:szCs w:val="28"/>
        </w:rPr>
        <w:t>最终得分</w:t>
      </w:r>
      <w:r>
        <w:rPr>
          <w:rFonts w:hint="eastAsia" w:ascii="仿宋_GB2312" w:hAnsi="宋体" w:eastAsia="仿宋_GB2312"/>
          <w:sz w:val="28"/>
          <w:szCs w:val="28"/>
        </w:rPr>
        <w:t>最高的供应商</w:t>
      </w:r>
      <w:r>
        <w:rPr>
          <w:rFonts w:hint="eastAsia" w:ascii="仿宋_GB2312" w:hAnsi="宋体" w:eastAsia="仿宋_GB2312" w:cs="宋体"/>
          <w:bCs/>
          <w:kern w:val="0"/>
          <w:sz w:val="28"/>
          <w:szCs w:val="28"/>
        </w:rPr>
        <w:t xml:space="preserve">     </w:t>
      </w:r>
    </w:p>
    <w:p>
      <w:pPr>
        <w:spacing w:before="156" w:beforeLines="50" w:line="360" w:lineRule="auto"/>
        <w:ind w:firstLine="6020" w:firstLineChars="2150"/>
        <w:rPr>
          <w:rFonts w:ascii="仿宋_GB2312" w:hAnsi="宋体" w:eastAsia="仿宋_GB2312"/>
          <w:sz w:val="28"/>
          <w:szCs w:val="28"/>
        </w:rPr>
      </w:pPr>
      <w:r>
        <w:rPr>
          <w:rFonts w:hint="eastAsia" w:ascii="仿宋_GB2312" w:hAnsi="宋体" w:eastAsia="仿宋_GB2312" w:cs="宋体"/>
          <w:bCs/>
          <w:kern w:val="0"/>
          <w:sz w:val="28"/>
          <w:szCs w:val="28"/>
        </w:rPr>
        <w:t xml:space="preserve">   </w:t>
      </w:r>
      <w:r>
        <w:rPr>
          <w:rFonts w:hint="eastAsia" w:ascii="仿宋_GB2312" w:hAnsi="宋体" w:eastAsia="仿宋_GB2312"/>
          <w:sz w:val="28"/>
          <w:szCs w:val="28"/>
        </w:rPr>
        <w:t>为成交供应商。</w:t>
      </w:r>
    </w:p>
    <w:p>
      <w:pPr>
        <w:wordWrap w:val="0"/>
        <w:spacing w:line="360" w:lineRule="auto"/>
        <w:jc w:val="left"/>
        <w:rPr>
          <w:rFonts w:ascii="仿宋_GB2312" w:hAnsi="宋体" w:eastAsia="仿宋_GB2312" w:cs="宋体"/>
          <w:kern w:val="0"/>
          <w:sz w:val="28"/>
          <w:szCs w:val="28"/>
        </w:rPr>
      </w:pPr>
      <w:r>
        <w:rPr>
          <w:rFonts w:hint="eastAsia" w:ascii="仿宋_GB2312" w:hAnsi="宋体" w:eastAsia="仿宋_GB2312" w:cs="宋体"/>
          <w:kern w:val="0"/>
          <w:sz w:val="28"/>
          <w:szCs w:val="28"/>
        </w:rPr>
        <w:t>采购单位评定小组人员签字：</w:t>
      </w:r>
    </w:p>
    <w:p>
      <w:pPr>
        <w:wordWrap w:val="0"/>
        <w:spacing w:line="360" w:lineRule="auto"/>
        <w:jc w:val="left"/>
        <w:rPr>
          <w:rFonts w:ascii="仿宋_GB2312" w:hAnsi="宋体" w:eastAsia="仿宋_GB2312" w:cs="宋体"/>
          <w:kern w:val="0"/>
          <w:sz w:val="28"/>
          <w:szCs w:val="28"/>
        </w:rPr>
      </w:pPr>
    </w:p>
    <w:p>
      <w:pPr>
        <w:wordWrap w:val="0"/>
        <w:spacing w:line="360" w:lineRule="auto"/>
        <w:jc w:val="left"/>
        <w:rPr>
          <w:rFonts w:ascii="仿宋_GB2312" w:hAnsi="宋体" w:eastAsia="仿宋_GB2312" w:cs="宋体"/>
          <w:kern w:val="0"/>
          <w:sz w:val="28"/>
          <w:szCs w:val="28"/>
        </w:rPr>
      </w:pPr>
    </w:p>
    <w:p>
      <w:pPr>
        <w:spacing w:line="360" w:lineRule="auto"/>
        <w:jc w:val="left"/>
        <w:rPr>
          <w:rFonts w:ascii="仿宋_GB2312" w:hAnsi="宋体" w:eastAsia="仿宋_GB2312" w:cs="宋体"/>
          <w:kern w:val="0"/>
          <w:sz w:val="28"/>
          <w:szCs w:val="28"/>
        </w:rPr>
      </w:pPr>
      <w:r>
        <w:rPr>
          <w:rFonts w:hint="eastAsia" w:ascii="仿宋_GB2312" w:hAnsi="宋体" w:eastAsia="仿宋_GB2312" w:cs="宋体"/>
          <w:kern w:val="0"/>
          <w:sz w:val="28"/>
          <w:szCs w:val="28"/>
        </w:rPr>
        <w:t>评定供应商法定代表人或授权代表签字：</w:t>
      </w:r>
    </w:p>
    <w:p>
      <w:pPr>
        <w:spacing w:line="360" w:lineRule="auto"/>
        <w:jc w:val="left"/>
        <w:rPr>
          <w:rFonts w:ascii="仿宋_GB2312" w:hAnsi="宋体" w:eastAsia="仿宋_GB2312" w:cs="宋体"/>
          <w:kern w:val="0"/>
          <w:sz w:val="28"/>
          <w:szCs w:val="28"/>
        </w:rPr>
      </w:pPr>
    </w:p>
    <w:p>
      <w:pPr>
        <w:wordWrap w:val="0"/>
        <w:spacing w:line="360" w:lineRule="auto"/>
        <w:jc w:val="right"/>
        <w:rPr>
          <w:rFonts w:ascii="仿宋_GB2312" w:hAnsi="宋体" w:eastAsia="仿宋_GB2312" w:cs="宋体"/>
          <w:kern w:val="0"/>
          <w:sz w:val="28"/>
          <w:szCs w:val="28"/>
        </w:rPr>
      </w:pPr>
    </w:p>
    <w:p>
      <w:pPr>
        <w:spacing w:line="360" w:lineRule="auto"/>
        <w:jc w:val="right"/>
        <w:rPr>
          <w:rFonts w:ascii="仿宋_GB2312" w:eastAsia="仿宋_GB2312"/>
          <w:sz w:val="28"/>
          <w:szCs w:val="28"/>
        </w:rPr>
      </w:pPr>
      <w:r>
        <w:rPr>
          <w:rFonts w:hint="eastAsia" w:ascii="仿宋_GB2312" w:hAnsi="宋体" w:eastAsia="仿宋_GB2312" w:cs="宋体"/>
          <w:kern w:val="0"/>
          <w:sz w:val="28"/>
          <w:szCs w:val="28"/>
        </w:rPr>
        <w:t xml:space="preserve"> 年 月 日 </w:t>
      </w:r>
    </w:p>
    <w:p>
      <w:pPr>
        <w:widowControl/>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tabs>
          <w:tab w:val="left" w:pos="630"/>
        </w:tabs>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附件8</w:t>
      </w:r>
    </w:p>
    <w:p>
      <w:pPr>
        <w:widowControl/>
        <w:jc w:val="center"/>
        <w:rPr>
          <w:rFonts w:ascii="仿宋_GB2312" w:hAnsi="宋体" w:eastAsia="仿宋_GB2312" w:cs="宋体"/>
          <w:b/>
          <w:kern w:val="0"/>
          <w:sz w:val="36"/>
          <w:szCs w:val="36"/>
        </w:rPr>
      </w:pPr>
      <w:r>
        <w:rPr>
          <w:rFonts w:hint="eastAsia" w:ascii="仿宋_GB2312" w:hAnsi="宋体" w:eastAsia="仿宋_GB2312" w:cs="宋体"/>
          <w:b/>
          <w:kern w:val="0"/>
          <w:sz w:val="36"/>
          <w:szCs w:val="36"/>
        </w:rPr>
        <w:t>退出评定确认表</w:t>
      </w:r>
    </w:p>
    <w:p>
      <w:pPr>
        <w:widowControl/>
        <w:rPr>
          <w:rFonts w:ascii="仿宋_GB2312" w:hAnsi="宋体" w:eastAsia="仿宋_GB2312" w:cs="宋体"/>
          <w:kern w:val="0"/>
          <w:sz w:val="24"/>
        </w:rPr>
      </w:pPr>
      <w:r>
        <w:rPr>
          <w:rFonts w:hint="eastAsia" w:ascii="仿宋_GB2312" w:hAnsi="宋体" w:eastAsia="仿宋_GB2312" w:cs="宋体"/>
          <w:kern w:val="0"/>
          <w:sz w:val="24"/>
        </w:rPr>
        <w:t>项目名称：202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年度海淀区人力资源公共服务中心业务系统运维服务</w:t>
      </w:r>
    </w:p>
    <w:p>
      <w:pPr>
        <w:widowControl/>
        <w:rPr>
          <w:rFonts w:ascii="仿宋_GB2312" w:hAnsi="宋体" w:eastAsia="仿宋_GB2312" w:cs="宋体"/>
          <w:kern w:val="0"/>
          <w:sz w:val="24"/>
        </w:rPr>
      </w:pPr>
      <w:r>
        <w:rPr>
          <w:rFonts w:hint="eastAsia" w:ascii="仿宋_GB2312" w:hAnsi="宋体" w:eastAsia="仿宋_GB2312" w:cs="宋体"/>
          <w:kern w:val="0"/>
          <w:sz w:val="24"/>
        </w:rPr>
        <w:t>项目编号：HDGFZX-PD-202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-01</w:t>
      </w:r>
    </w:p>
    <w:p>
      <w:pPr>
        <w:rPr>
          <w:rFonts w:ascii="仿宋_GB2312" w:eastAsia="仿宋_GB2312"/>
          <w:sz w:val="24"/>
        </w:rPr>
      </w:pPr>
    </w:p>
    <w:tbl>
      <w:tblPr>
        <w:tblStyle w:val="9"/>
        <w:tblW w:w="9639" w:type="dxa"/>
        <w:tblInd w:w="-459" w:type="dxa"/>
        <w:tblLayout w:type="autofit"/>
        <w:tblCellMar>
          <w:top w:w="0" w:type="dxa"/>
          <w:left w:w="108" w:type="dxa"/>
          <w:bottom w:w="0" w:type="dxa"/>
          <w:right w:w="108" w:type="dxa"/>
        </w:tblCellMar>
      </w:tblPr>
      <w:tblGrid>
        <w:gridCol w:w="851"/>
        <w:gridCol w:w="3118"/>
        <w:gridCol w:w="1985"/>
        <w:gridCol w:w="1843"/>
        <w:gridCol w:w="1842"/>
      </w:tblGrid>
      <w:tr>
        <w:tblPrEx>
          <w:tblCellMar>
            <w:top w:w="0" w:type="dxa"/>
            <w:left w:w="108" w:type="dxa"/>
            <w:bottom w:w="0" w:type="dxa"/>
            <w:right w:w="108" w:type="dxa"/>
          </w:tblCellMar>
        </w:tblPrEx>
        <w:trPr>
          <w:trHeight w:val="60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序号</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供应商名称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法定代表人</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授权人</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备注</w:t>
            </w: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bl>
    <w:p>
      <w:pPr>
        <w:tabs>
          <w:tab w:val="left" w:pos="630"/>
        </w:tabs>
        <w:adjustRightInd w:val="0"/>
        <w:snapToGrid w:val="0"/>
        <w:spacing w:line="360" w:lineRule="auto"/>
        <w:rPr>
          <w:rFonts w:ascii="仿宋_GB2312" w:hAnsi="仿宋" w:eastAsia="仿宋_GB2312" w:cs="仿宋"/>
          <w:sz w:val="32"/>
          <w:szCs w:val="32"/>
        </w:rPr>
      </w:pPr>
    </w:p>
    <w:p>
      <w:pPr>
        <w:tabs>
          <w:tab w:val="left" w:pos="630"/>
        </w:tabs>
        <w:adjustRightInd w:val="0"/>
        <w:snapToGrid w:val="0"/>
        <w:spacing w:line="360" w:lineRule="auto"/>
        <w:rPr>
          <w:rFonts w:ascii="仿宋_GB2312" w:hAnsi="仿宋" w:eastAsia="仿宋_GB2312" w:cs="仿宋"/>
          <w:sz w:val="32"/>
          <w:szCs w:val="32"/>
        </w:rPr>
      </w:pPr>
    </w:p>
    <w:p>
      <w:pPr>
        <w:widowControl/>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tabs>
          <w:tab w:val="left" w:pos="630"/>
        </w:tabs>
        <w:adjustRightInd w:val="0"/>
        <w:snapToGrid w:val="0"/>
        <w:spacing w:line="360" w:lineRule="auto"/>
        <w:rPr>
          <w:rFonts w:ascii="仿宋_GB2312" w:hAnsi="宋体" w:eastAsia="仿宋_GB2312"/>
          <w:b/>
          <w:bCs/>
          <w:kern w:val="44"/>
          <w:sz w:val="24"/>
        </w:rPr>
      </w:pPr>
      <w:r>
        <w:rPr>
          <w:rFonts w:hint="eastAsia" w:ascii="仿宋_GB2312" w:hAnsi="仿宋" w:eastAsia="仿宋_GB2312" w:cs="仿宋"/>
          <w:sz w:val="32"/>
          <w:szCs w:val="32"/>
        </w:rPr>
        <w:t>附件9</w:t>
      </w:r>
      <w:r>
        <w:rPr>
          <w:rFonts w:hint="eastAsia" w:ascii="仿宋_GB2312" w:hAnsi="宋体" w:eastAsia="仿宋_GB2312"/>
          <w:b/>
          <w:bCs/>
          <w:kern w:val="44"/>
          <w:sz w:val="24"/>
        </w:rPr>
        <w:t xml:space="preserve"> </w:t>
      </w:r>
    </w:p>
    <w:p>
      <w:pPr>
        <w:jc w:val="center"/>
        <w:rPr>
          <w:rFonts w:ascii="仿宋_GB2312" w:hAnsi="宋体" w:eastAsia="仿宋_GB2312"/>
          <w:b/>
          <w:bCs/>
          <w:kern w:val="44"/>
          <w:sz w:val="36"/>
          <w:szCs w:val="36"/>
        </w:rPr>
      </w:pPr>
      <w:r>
        <w:rPr>
          <w:rFonts w:hint="eastAsia" w:ascii="仿宋_GB2312" w:hAnsi="宋体" w:eastAsia="仿宋_GB2312"/>
          <w:b/>
          <w:bCs/>
          <w:kern w:val="44"/>
          <w:sz w:val="36"/>
          <w:szCs w:val="36"/>
        </w:rPr>
        <w:t>《202</w:t>
      </w:r>
      <w:r>
        <w:rPr>
          <w:rFonts w:hint="eastAsia" w:ascii="仿宋_GB2312" w:hAnsi="宋体" w:eastAsia="仿宋_GB2312"/>
          <w:b/>
          <w:bCs/>
          <w:kern w:val="44"/>
          <w:sz w:val="36"/>
          <w:szCs w:val="36"/>
          <w:lang w:val="en-US" w:eastAsia="zh-CN"/>
        </w:rPr>
        <w:t>4</w:t>
      </w:r>
      <w:r>
        <w:rPr>
          <w:rFonts w:hint="eastAsia" w:ascii="仿宋_GB2312" w:hAnsi="宋体" w:eastAsia="仿宋_GB2312"/>
          <w:b/>
          <w:bCs/>
          <w:kern w:val="44"/>
          <w:sz w:val="36"/>
          <w:szCs w:val="36"/>
        </w:rPr>
        <w:t>年度海淀区人力资源公共服务中心</w:t>
      </w:r>
    </w:p>
    <w:p>
      <w:pPr>
        <w:jc w:val="center"/>
        <w:rPr>
          <w:rFonts w:ascii="仿宋_GB2312" w:hAnsi="宋体" w:eastAsia="仿宋_GB2312"/>
          <w:b/>
          <w:bCs/>
          <w:kern w:val="44"/>
          <w:sz w:val="36"/>
          <w:szCs w:val="36"/>
        </w:rPr>
      </w:pPr>
      <w:r>
        <w:rPr>
          <w:rFonts w:hint="eastAsia" w:ascii="仿宋_GB2312" w:hAnsi="宋体" w:eastAsia="仿宋_GB2312"/>
          <w:b/>
          <w:bCs/>
          <w:kern w:val="44"/>
          <w:sz w:val="36"/>
          <w:szCs w:val="36"/>
        </w:rPr>
        <w:t>业务系统运维服务》评定采购项目</w:t>
      </w:r>
      <w:r>
        <w:rPr>
          <w:rFonts w:hint="eastAsia" w:ascii="仿宋_GB2312" w:hAnsi="宋体" w:eastAsia="仿宋_GB2312"/>
          <w:b/>
          <w:sz w:val="36"/>
          <w:szCs w:val="36"/>
        </w:rPr>
        <w:t>成交通知书</w:t>
      </w:r>
    </w:p>
    <w:p>
      <w:pPr>
        <w:jc w:val="left"/>
        <w:rPr>
          <w:rFonts w:ascii="仿宋_GB2312" w:hAnsi="宋体" w:eastAsia="仿宋_GB2312" w:cs="宋体"/>
          <w:kern w:val="0"/>
          <w:sz w:val="24"/>
        </w:rPr>
      </w:pPr>
    </w:p>
    <w:p>
      <w:pPr>
        <w:jc w:val="left"/>
        <w:rPr>
          <w:rFonts w:ascii="仿宋_GB2312" w:hAnsi="宋体" w:eastAsia="仿宋_GB2312" w:cs="宋体"/>
          <w:kern w:val="0"/>
          <w:sz w:val="24"/>
        </w:rPr>
      </w:pPr>
      <w:r>
        <w:rPr>
          <w:rFonts w:hint="eastAsia" w:ascii="仿宋_GB2312" w:hAnsi="宋体" w:eastAsia="仿宋_GB2312" w:cs="宋体"/>
          <w:kern w:val="0"/>
          <w:sz w:val="24"/>
        </w:rPr>
        <w:t>采购单位名称（盖章）：北京市海淀区人力资源公共服务中心</w:t>
      </w:r>
    </w:p>
    <w:tbl>
      <w:tblPr>
        <w:tblStyle w:val="9"/>
        <w:tblpPr w:leftFromText="180" w:rightFromText="180" w:vertAnchor="page" w:horzAnchor="margin" w:tblpY="451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0"/>
        <w:gridCol w:w="2551"/>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1990" w:type="dxa"/>
            <w:shd w:val="clear" w:color="auto" w:fill="auto"/>
            <w:vAlign w:val="center"/>
          </w:tcPr>
          <w:p>
            <w:pPr>
              <w:widowControl/>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项目名称</w:t>
            </w:r>
          </w:p>
        </w:tc>
        <w:tc>
          <w:tcPr>
            <w:tcW w:w="7229" w:type="dxa"/>
            <w:gridSpan w:val="3"/>
            <w:shd w:val="clear" w:color="auto" w:fill="FFFFFF"/>
            <w:vAlign w:val="center"/>
          </w:tcPr>
          <w:p>
            <w:pPr>
              <w:widowControl/>
              <w:snapToGrid w:val="0"/>
              <w:ind w:firstLine="240" w:firstLineChars="100"/>
              <w:rPr>
                <w:rFonts w:ascii="仿宋_GB2312" w:hAnsi="宋体" w:eastAsia="仿宋_GB2312" w:cs="宋体"/>
                <w:bCs/>
                <w:kern w:val="0"/>
                <w:sz w:val="24"/>
              </w:rPr>
            </w:pPr>
            <w:r>
              <w:rPr>
                <w:rFonts w:hint="eastAsia" w:ascii="仿宋_GB2312" w:hAnsi="宋体" w:eastAsia="仿宋_GB2312" w:cs="宋体"/>
                <w:bCs/>
                <w:kern w:val="0"/>
                <w:sz w:val="24"/>
              </w:rPr>
              <w:t>202</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年度海淀区人力资源公共服务中心业务系统运维服务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90" w:type="dxa"/>
            <w:shd w:val="clear" w:color="auto" w:fill="auto"/>
            <w:vAlign w:val="center"/>
          </w:tcPr>
          <w:p>
            <w:pPr>
              <w:widowControl/>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项目编号</w:t>
            </w:r>
          </w:p>
        </w:tc>
        <w:tc>
          <w:tcPr>
            <w:tcW w:w="7229" w:type="dxa"/>
            <w:gridSpan w:val="3"/>
            <w:shd w:val="clear" w:color="auto" w:fill="auto"/>
            <w:vAlign w:val="center"/>
          </w:tcPr>
          <w:p>
            <w:pPr>
              <w:widowControl/>
              <w:snapToGrid w:val="0"/>
              <w:ind w:firstLine="240" w:firstLineChars="100"/>
              <w:rPr>
                <w:rFonts w:ascii="仿宋_GB2312" w:hAnsi="宋体" w:eastAsia="仿宋_GB2312" w:cs="宋体"/>
                <w:kern w:val="0"/>
                <w:sz w:val="14"/>
                <w:szCs w:val="14"/>
              </w:rPr>
            </w:pPr>
            <w:r>
              <w:rPr>
                <w:rFonts w:hint="eastAsia" w:ascii="仿宋_GB2312" w:hAnsi="宋体" w:eastAsia="仿宋_GB2312" w:cs="宋体"/>
                <w:bCs/>
                <w:kern w:val="0"/>
                <w:sz w:val="24"/>
              </w:rPr>
              <w:t>HDGFZX-PD-202</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90" w:type="dxa"/>
            <w:shd w:val="clear" w:color="auto" w:fill="auto"/>
            <w:vAlign w:val="center"/>
          </w:tcPr>
          <w:p>
            <w:pPr>
              <w:widowControl/>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采购单位</w:t>
            </w:r>
          </w:p>
        </w:tc>
        <w:tc>
          <w:tcPr>
            <w:tcW w:w="7229" w:type="dxa"/>
            <w:gridSpan w:val="3"/>
            <w:shd w:val="clear" w:color="auto" w:fill="auto"/>
            <w:vAlign w:val="center"/>
          </w:tcPr>
          <w:p>
            <w:pPr>
              <w:snapToGrid w:val="0"/>
              <w:ind w:firstLine="240" w:firstLineChars="100"/>
              <w:rPr>
                <w:rFonts w:ascii="仿宋_GB2312" w:hAnsi="宋体" w:eastAsia="仿宋_GB2312" w:cs="宋体"/>
                <w:bCs/>
                <w:kern w:val="0"/>
                <w:sz w:val="24"/>
              </w:rPr>
            </w:pPr>
            <w:r>
              <w:rPr>
                <w:rFonts w:hint="eastAsia" w:ascii="仿宋_GB2312" w:hAnsi="宋体" w:eastAsia="仿宋_GB2312" w:cs="宋体"/>
                <w:bCs/>
                <w:kern w:val="0"/>
                <w:sz w:val="24"/>
              </w:rPr>
              <w:t>北京市海淀区人力资源公共服务中心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90" w:type="dxa"/>
            <w:shd w:val="clear" w:color="auto" w:fill="auto"/>
            <w:vAlign w:val="center"/>
          </w:tcPr>
          <w:p>
            <w:pPr>
              <w:widowControl/>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采购单位联系人</w:t>
            </w:r>
          </w:p>
        </w:tc>
        <w:tc>
          <w:tcPr>
            <w:tcW w:w="2551" w:type="dxa"/>
            <w:shd w:val="clear" w:color="auto" w:fill="auto"/>
            <w:vAlign w:val="center"/>
          </w:tcPr>
          <w:p>
            <w:pPr>
              <w:snapToGrid w:val="0"/>
              <w:jc w:val="center"/>
              <w:rPr>
                <w:rFonts w:ascii="仿宋_GB2312" w:hAnsi="宋体" w:eastAsia="仿宋_GB2312" w:cs="宋体"/>
                <w:bCs/>
                <w:kern w:val="0"/>
                <w:sz w:val="24"/>
              </w:rPr>
            </w:pPr>
            <w:r>
              <w:rPr>
                <w:rFonts w:hint="eastAsia" w:ascii="仿宋_GB2312" w:hAnsi="宋体" w:eastAsia="仿宋_GB2312" w:cs="宋体"/>
                <w:bCs/>
                <w:kern w:val="0"/>
                <w:sz w:val="24"/>
              </w:rPr>
              <w:t>刘帅</w:t>
            </w:r>
          </w:p>
        </w:tc>
        <w:tc>
          <w:tcPr>
            <w:tcW w:w="1985" w:type="dxa"/>
            <w:shd w:val="clear" w:color="auto" w:fill="auto"/>
            <w:vAlign w:val="center"/>
          </w:tcPr>
          <w:p>
            <w:pPr>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联系电话</w:t>
            </w:r>
          </w:p>
        </w:tc>
        <w:tc>
          <w:tcPr>
            <w:tcW w:w="2693" w:type="dxa"/>
            <w:shd w:val="clear" w:color="auto" w:fill="auto"/>
            <w:vAlign w:val="center"/>
          </w:tcPr>
          <w:p>
            <w:pPr>
              <w:snapToGrid w:val="0"/>
              <w:jc w:val="center"/>
              <w:rPr>
                <w:rFonts w:ascii="仿宋_GB2312" w:hAnsi="宋体" w:eastAsia="仿宋_GB2312" w:cs="宋体"/>
                <w:bCs/>
                <w:kern w:val="0"/>
                <w:sz w:val="24"/>
              </w:rPr>
            </w:pPr>
            <w:r>
              <w:rPr>
                <w:rFonts w:hint="eastAsia" w:ascii="仿宋_GB2312" w:hAnsi="宋体" w:eastAsia="仿宋_GB2312" w:cs="宋体"/>
                <w:bCs/>
                <w:kern w:val="0"/>
                <w:sz w:val="24"/>
              </w:rPr>
              <w:t>88506263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90" w:type="dxa"/>
            <w:shd w:val="clear" w:color="auto" w:fill="auto"/>
            <w:vAlign w:val="center"/>
          </w:tcPr>
          <w:p>
            <w:pPr>
              <w:widowControl/>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成交供应商</w:t>
            </w:r>
          </w:p>
        </w:tc>
        <w:tc>
          <w:tcPr>
            <w:tcW w:w="2551" w:type="dxa"/>
            <w:shd w:val="clear" w:color="auto" w:fill="auto"/>
            <w:vAlign w:val="center"/>
          </w:tcPr>
          <w:p>
            <w:pPr>
              <w:widowControl/>
              <w:ind w:firstLine="140" w:firstLineChars="100"/>
              <w:rPr>
                <w:rFonts w:ascii="仿宋_GB2312" w:hAnsi="宋体" w:eastAsia="仿宋_GB2312" w:cs="宋体"/>
                <w:kern w:val="0"/>
                <w:sz w:val="14"/>
                <w:szCs w:val="14"/>
              </w:rPr>
            </w:pPr>
          </w:p>
        </w:tc>
        <w:tc>
          <w:tcPr>
            <w:tcW w:w="1985" w:type="dxa"/>
            <w:shd w:val="clear" w:color="auto" w:fill="auto"/>
            <w:vAlign w:val="center"/>
          </w:tcPr>
          <w:p>
            <w:pPr>
              <w:widowControl/>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评定得分</w:t>
            </w:r>
          </w:p>
        </w:tc>
        <w:tc>
          <w:tcPr>
            <w:tcW w:w="2693" w:type="dxa"/>
            <w:shd w:val="clear" w:color="auto" w:fill="auto"/>
            <w:vAlign w:val="center"/>
          </w:tcPr>
          <w:p>
            <w:pPr>
              <w:widowControl/>
              <w:jc w:val="center"/>
              <w:rPr>
                <w:rFonts w:ascii="仿宋_GB2312" w:hAnsi="宋体" w:eastAsia="仿宋_GB2312"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990" w:type="dxa"/>
            <w:shd w:val="clear" w:color="auto" w:fill="auto"/>
            <w:vAlign w:val="center"/>
          </w:tcPr>
          <w:p>
            <w:pPr>
              <w:widowControl/>
              <w:snapToGrid w:val="0"/>
              <w:ind w:firstLine="482" w:firstLineChars="200"/>
              <w:rPr>
                <w:rFonts w:ascii="仿宋_GB2312" w:hAnsi="宋体" w:eastAsia="仿宋_GB2312" w:cs="宋体"/>
                <w:b/>
                <w:bCs/>
                <w:kern w:val="0"/>
                <w:sz w:val="24"/>
              </w:rPr>
            </w:pPr>
            <w:r>
              <w:rPr>
                <w:rFonts w:hint="eastAsia" w:ascii="仿宋_GB2312" w:hAnsi="宋体" w:eastAsia="仿宋_GB2312" w:cs="宋体"/>
                <w:b/>
                <w:bCs/>
                <w:kern w:val="0"/>
                <w:sz w:val="24"/>
              </w:rPr>
              <w:t>评定日期</w:t>
            </w:r>
          </w:p>
        </w:tc>
        <w:tc>
          <w:tcPr>
            <w:tcW w:w="7229" w:type="dxa"/>
            <w:gridSpan w:val="3"/>
            <w:shd w:val="clear" w:color="auto" w:fill="auto"/>
            <w:vAlign w:val="center"/>
          </w:tcPr>
          <w:p>
            <w:pPr>
              <w:widowControl/>
              <w:snapToGrid w:val="0"/>
              <w:jc w:val="center"/>
              <w:rPr>
                <w:rFonts w:ascii="仿宋_GB2312" w:hAnsi="宋体" w:eastAsia="仿宋_GB2312" w:cs="宋体"/>
                <w:bCs/>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990" w:type="dxa"/>
            <w:shd w:val="clear" w:color="auto" w:fill="auto"/>
            <w:vAlign w:val="center"/>
          </w:tcPr>
          <w:p>
            <w:pPr>
              <w:widowControl/>
              <w:snapToGrid w:val="0"/>
              <w:jc w:val="center"/>
              <w:rPr>
                <w:rFonts w:ascii="仿宋_GB2312" w:hAnsi="宋体" w:eastAsia="仿宋_GB2312" w:cs="宋体"/>
                <w:b/>
                <w:bCs/>
                <w:kern w:val="0"/>
                <w:sz w:val="24"/>
              </w:rPr>
            </w:pPr>
            <w:r>
              <w:rPr>
                <w:rFonts w:hint="eastAsia" w:ascii="仿宋_GB2312" w:hAnsi="宋体" w:eastAsia="仿宋_GB2312" w:cs="宋体"/>
                <w:b/>
                <w:bCs/>
                <w:kern w:val="0"/>
                <w:sz w:val="24"/>
              </w:rPr>
              <w:t>采购单位提示</w:t>
            </w:r>
          </w:p>
        </w:tc>
        <w:tc>
          <w:tcPr>
            <w:tcW w:w="7229" w:type="dxa"/>
            <w:gridSpan w:val="3"/>
            <w:shd w:val="clear" w:color="auto" w:fill="auto"/>
            <w:vAlign w:val="center"/>
          </w:tcPr>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请成交供应商按评定文件要求尽快与采购人联系</w:t>
            </w:r>
          </w:p>
          <w:p>
            <w:pPr>
              <w:widowControl/>
              <w:snapToGrid w:val="0"/>
              <w:jc w:val="center"/>
              <w:rPr>
                <w:rFonts w:ascii="仿宋_GB2312" w:hAnsi="宋体" w:eastAsia="仿宋_GB2312" w:cs="宋体"/>
                <w:kern w:val="0"/>
                <w:sz w:val="24"/>
              </w:rPr>
            </w:pPr>
            <w:r>
              <w:rPr>
                <w:rFonts w:hint="eastAsia" w:ascii="仿宋_GB2312" w:hAnsi="宋体" w:eastAsia="仿宋_GB2312" w:cs="宋体"/>
                <w:kern w:val="0"/>
                <w:sz w:val="24"/>
              </w:rPr>
              <w:t>签订合同、履行服务，感谢各方参与。</w:t>
            </w:r>
          </w:p>
        </w:tc>
      </w:tr>
    </w:tbl>
    <w:p>
      <w:pPr>
        <w:jc w:val="left"/>
        <w:rPr>
          <w:rFonts w:ascii="仿宋_GB2312" w:hAnsi="宋体" w:eastAsia="仿宋_GB2312" w:cs="宋体"/>
          <w:kern w:val="0"/>
          <w:sz w:val="24"/>
        </w:rPr>
      </w:pPr>
    </w:p>
    <w:p>
      <w:pPr>
        <w:jc w:val="left"/>
        <w:rPr>
          <w:rFonts w:ascii="仿宋_GB2312" w:eastAsia="仿宋_GB2312"/>
          <w:sz w:val="36"/>
          <w:szCs w:val="36"/>
        </w:rPr>
      </w:pPr>
    </w:p>
    <w:p>
      <w:pPr>
        <w:jc w:val="left"/>
        <w:rPr>
          <w:rFonts w:ascii="仿宋_GB2312" w:eastAsia="仿宋_GB2312"/>
          <w:sz w:val="36"/>
          <w:szCs w:val="36"/>
        </w:rPr>
      </w:pPr>
    </w:p>
    <w:p>
      <w:pPr>
        <w:widowControl/>
        <w:jc w:val="left"/>
        <w:rPr>
          <w:rFonts w:ascii="仿宋_GB2312" w:eastAsia="仿宋_GB2312"/>
          <w:sz w:val="36"/>
          <w:szCs w:val="36"/>
        </w:rPr>
      </w:pPr>
      <w:r>
        <w:rPr>
          <w:rFonts w:hint="eastAsia" w:ascii="仿宋_GB2312" w:eastAsia="仿宋_GB2312"/>
          <w:sz w:val="36"/>
          <w:szCs w:val="36"/>
        </w:rPr>
        <w:br w:type="page"/>
      </w:r>
    </w:p>
    <w:p>
      <w:pPr>
        <w:tabs>
          <w:tab w:val="left" w:pos="630"/>
        </w:tabs>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附件10</w:t>
      </w:r>
    </w:p>
    <w:p>
      <w:pPr>
        <w:widowControl/>
        <w:shd w:val="clear" w:color="auto" w:fill="FFFFFF"/>
        <w:spacing w:before="100" w:beforeAutospacing="1" w:after="100" w:afterAutospacing="1" w:line="480" w:lineRule="atLeast"/>
        <w:jc w:val="center"/>
        <w:rPr>
          <w:rFonts w:ascii="仿宋_GB2312" w:hAnsi="宋体" w:eastAsia="仿宋_GB2312" w:cs="宋体"/>
          <w:b/>
          <w:kern w:val="0"/>
          <w:sz w:val="36"/>
          <w:szCs w:val="36"/>
        </w:rPr>
      </w:pPr>
      <w:r>
        <w:rPr>
          <w:rFonts w:hint="eastAsia" w:ascii="仿宋_GB2312" w:hAnsi="宋体" w:eastAsia="仿宋_GB2312" w:cs="宋体"/>
          <w:b/>
          <w:kern w:val="0"/>
          <w:sz w:val="36"/>
          <w:szCs w:val="36"/>
        </w:rPr>
        <w:t>《202</w:t>
      </w:r>
      <w:r>
        <w:rPr>
          <w:rFonts w:hint="eastAsia" w:ascii="仿宋_GB2312" w:hAnsi="宋体" w:eastAsia="仿宋_GB2312" w:cs="宋体"/>
          <w:b/>
          <w:kern w:val="0"/>
          <w:sz w:val="36"/>
          <w:szCs w:val="36"/>
          <w:lang w:val="en-US" w:eastAsia="zh-CN"/>
        </w:rPr>
        <w:t>4</w:t>
      </w:r>
      <w:r>
        <w:rPr>
          <w:rFonts w:hint="eastAsia" w:ascii="仿宋_GB2312" w:hAnsi="宋体" w:eastAsia="仿宋_GB2312" w:cs="宋体"/>
          <w:b/>
          <w:kern w:val="0"/>
          <w:sz w:val="36"/>
          <w:szCs w:val="36"/>
        </w:rPr>
        <w:t>年度海淀区人力资源公共服务中心业务系统运维服务》评定项目取消通知书</w:t>
      </w:r>
    </w:p>
    <w:tbl>
      <w:tblPr>
        <w:tblStyle w:val="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90"/>
        <w:gridCol w:w="56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
                <w:bCs/>
                <w:color w:val="000000"/>
                <w:kern w:val="0"/>
                <w:sz w:val="28"/>
                <w:szCs w:val="28"/>
              </w:rPr>
              <w:t>项目名称：</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年度海淀区人力资源公共服务中心业务系统运维服务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
                <w:bCs/>
                <w:color w:val="000000"/>
                <w:kern w:val="0"/>
                <w:sz w:val="28"/>
                <w:szCs w:val="28"/>
              </w:rPr>
              <w:t>项目编号：</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ind w:firstLine="240" w:firstLineChars="100"/>
              <w:jc w:val="left"/>
              <w:rPr>
                <w:rFonts w:ascii="仿宋_GB2312" w:hAnsi="宋体" w:eastAsia="仿宋_GB2312" w:cs="宋体"/>
                <w:kern w:val="0"/>
                <w:sz w:val="24"/>
              </w:rPr>
            </w:pPr>
            <w:r>
              <w:rPr>
                <w:rFonts w:hint="eastAsia" w:ascii="仿宋_GB2312" w:hAnsi="宋体" w:eastAsia="仿宋_GB2312"/>
                <w:sz w:val="24"/>
              </w:rPr>
              <w:t>HDGFZX-PD-202</w:t>
            </w:r>
            <w:r>
              <w:rPr>
                <w:rFonts w:hint="eastAsia" w:ascii="仿宋_GB2312" w:hAnsi="宋体" w:eastAsia="仿宋_GB2312"/>
                <w:sz w:val="24"/>
                <w:lang w:val="en-US" w:eastAsia="zh-CN"/>
              </w:rPr>
              <w:t>4</w:t>
            </w:r>
            <w:r>
              <w:rPr>
                <w:rFonts w:hint="eastAsia" w:ascii="仿宋_GB2312" w:hAnsi="宋体" w:eastAsia="仿宋_GB2312"/>
                <w:sz w:val="24"/>
              </w:rPr>
              <w:t>-01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
                <w:bCs/>
                <w:color w:val="000000"/>
                <w:kern w:val="0"/>
                <w:sz w:val="28"/>
                <w:szCs w:val="28"/>
              </w:rPr>
              <w:t>采购单位：</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北京市海淀区人力资源公共服务中心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
                <w:bCs/>
                <w:color w:val="000000"/>
                <w:kern w:val="0"/>
                <w:sz w:val="28"/>
                <w:szCs w:val="28"/>
              </w:rPr>
              <w:t>取消原因：</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jc w:val="left"/>
              <w:rPr>
                <w:rFonts w:ascii="仿宋_GB2312" w:hAnsi="宋体" w:eastAsia="仿宋_GB2312"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
                <w:bCs/>
                <w:color w:val="000000"/>
                <w:kern w:val="0"/>
                <w:sz w:val="28"/>
                <w:szCs w:val="28"/>
              </w:rPr>
              <w:t>采购单位联系人：</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刘帅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16"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ascii="仿宋_GB2312" w:hAnsi="宋体" w:eastAsia="仿宋_GB2312" w:cs="宋体"/>
                <w:kern w:val="0"/>
                <w:sz w:val="24"/>
              </w:rPr>
            </w:pPr>
            <w:r>
              <w:rPr>
                <w:rFonts w:hint="eastAsia" w:ascii="仿宋_GB2312" w:hAnsi="宋体" w:eastAsia="仿宋_GB2312" w:cs="宋体"/>
                <w:b/>
                <w:bCs/>
                <w:color w:val="000000"/>
                <w:kern w:val="0"/>
                <w:sz w:val="28"/>
                <w:szCs w:val="28"/>
              </w:rPr>
              <w:t>采购单位联系电话：</w:t>
            </w:r>
            <w:r>
              <w:rPr>
                <w:rFonts w:hint="eastAsia" w:ascii="仿宋_GB2312" w:hAnsi="宋体" w:eastAsia="仿宋_GB2312" w:cs="宋体"/>
                <w:kern w:val="0"/>
                <w:sz w:val="24"/>
              </w:rPr>
              <w:t xml:space="preserve"> </w:t>
            </w:r>
          </w:p>
        </w:tc>
        <w:tc>
          <w:tcPr>
            <w:tcW w:w="3384" w:type="pct"/>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88506263</w:t>
            </w:r>
          </w:p>
        </w:tc>
      </w:tr>
    </w:tbl>
    <w:p>
      <w:pPr>
        <w:rPr>
          <w:rFonts w:ascii="仿宋_GB2312" w:eastAsia="仿宋_GB2312"/>
        </w:rPr>
      </w:pPr>
    </w:p>
    <w:p>
      <w:pPr>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w:t>
      </w:r>
    </w:p>
    <w:p>
      <w:pPr>
        <w:pStyle w:val="4"/>
        <w:adjustRightInd w:val="0"/>
        <w:snapToGrid w:val="0"/>
        <w:spacing w:line="560" w:lineRule="exact"/>
        <w:jc w:val="center"/>
        <w:rPr>
          <w:rFonts w:ascii="仿宋_GB2312"/>
          <w:szCs w:val="32"/>
        </w:rPr>
      </w:pPr>
    </w:p>
    <w:p>
      <w:pPr>
        <w:spacing w:line="560" w:lineRule="exact"/>
        <w:rPr>
          <w:rFonts w:ascii="仿宋_GB2312" w:eastAsia="仿宋_GB2312"/>
          <w:spacing w:val="-1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10AF8"/>
    <w:multiLevelType w:val="multilevel"/>
    <w:tmpl w:val="66F10AF8"/>
    <w:lvl w:ilvl="0" w:tentative="0">
      <w:start w:val="2"/>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ODhmOTY3OWRjZmQ1N2U5Njk2OTA4NTYxNjFiOWEifQ=="/>
  </w:docVars>
  <w:rsids>
    <w:rsidRoot w:val="00D93B19"/>
    <w:rsid w:val="00002FFC"/>
    <w:rsid w:val="00004DBD"/>
    <w:rsid w:val="000063E6"/>
    <w:rsid w:val="000126AB"/>
    <w:rsid w:val="00030105"/>
    <w:rsid w:val="000302A2"/>
    <w:rsid w:val="00051B6E"/>
    <w:rsid w:val="00056F87"/>
    <w:rsid w:val="0006580B"/>
    <w:rsid w:val="000848DD"/>
    <w:rsid w:val="000B5FC3"/>
    <w:rsid w:val="000C0D14"/>
    <w:rsid w:val="000C1A1A"/>
    <w:rsid w:val="000C4A60"/>
    <w:rsid w:val="000E47C7"/>
    <w:rsid w:val="000F5F8F"/>
    <w:rsid w:val="00106315"/>
    <w:rsid w:val="00106ABD"/>
    <w:rsid w:val="00113DF6"/>
    <w:rsid w:val="0012548D"/>
    <w:rsid w:val="0014683C"/>
    <w:rsid w:val="001552A5"/>
    <w:rsid w:val="001620E0"/>
    <w:rsid w:val="00175254"/>
    <w:rsid w:val="001A1B54"/>
    <w:rsid w:val="001A4EC1"/>
    <w:rsid w:val="001C12E0"/>
    <w:rsid w:val="001C4BE6"/>
    <w:rsid w:val="001F2D9C"/>
    <w:rsid w:val="001F31AD"/>
    <w:rsid w:val="00211FE7"/>
    <w:rsid w:val="00214D6F"/>
    <w:rsid w:val="002324F7"/>
    <w:rsid w:val="00245B62"/>
    <w:rsid w:val="002563B4"/>
    <w:rsid w:val="00256EAA"/>
    <w:rsid w:val="00283D7B"/>
    <w:rsid w:val="00296B8B"/>
    <w:rsid w:val="002A18F1"/>
    <w:rsid w:val="002B3D28"/>
    <w:rsid w:val="002D42A1"/>
    <w:rsid w:val="002E32E4"/>
    <w:rsid w:val="002E759E"/>
    <w:rsid w:val="002F293D"/>
    <w:rsid w:val="00302CB4"/>
    <w:rsid w:val="003245F5"/>
    <w:rsid w:val="00335287"/>
    <w:rsid w:val="00341BC1"/>
    <w:rsid w:val="00344215"/>
    <w:rsid w:val="00344893"/>
    <w:rsid w:val="00373180"/>
    <w:rsid w:val="00376A94"/>
    <w:rsid w:val="00390398"/>
    <w:rsid w:val="00393163"/>
    <w:rsid w:val="003B0AD3"/>
    <w:rsid w:val="003C026C"/>
    <w:rsid w:val="003C41AC"/>
    <w:rsid w:val="003C475D"/>
    <w:rsid w:val="003C5E5A"/>
    <w:rsid w:val="003D119C"/>
    <w:rsid w:val="003E5960"/>
    <w:rsid w:val="004015C1"/>
    <w:rsid w:val="00401C97"/>
    <w:rsid w:val="00402FB0"/>
    <w:rsid w:val="004152E7"/>
    <w:rsid w:val="0041619F"/>
    <w:rsid w:val="00464AD0"/>
    <w:rsid w:val="0047091A"/>
    <w:rsid w:val="00493AFA"/>
    <w:rsid w:val="004A12C6"/>
    <w:rsid w:val="004A4EC7"/>
    <w:rsid w:val="004B65C4"/>
    <w:rsid w:val="004D232A"/>
    <w:rsid w:val="004D5796"/>
    <w:rsid w:val="004D5F2C"/>
    <w:rsid w:val="004D68F2"/>
    <w:rsid w:val="0050650A"/>
    <w:rsid w:val="00516832"/>
    <w:rsid w:val="00522023"/>
    <w:rsid w:val="005530B2"/>
    <w:rsid w:val="00577751"/>
    <w:rsid w:val="00593481"/>
    <w:rsid w:val="005963AC"/>
    <w:rsid w:val="005A544D"/>
    <w:rsid w:val="005E557E"/>
    <w:rsid w:val="005E6EC7"/>
    <w:rsid w:val="005F3F3D"/>
    <w:rsid w:val="005F486C"/>
    <w:rsid w:val="006242DD"/>
    <w:rsid w:val="006246A6"/>
    <w:rsid w:val="00626BDC"/>
    <w:rsid w:val="00632944"/>
    <w:rsid w:val="00643373"/>
    <w:rsid w:val="00647759"/>
    <w:rsid w:val="00647EF4"/>
    <w:rsid w:val="00660FD3"/>
    <w:rsid w:val="00692C98"/>
    <w:rsid w:val="006A5D7E"/>
    <w:rsid w:val="006D135E"/>
    <w:rsid w:val="006D2525"/>
    <w:rsid w:val="006F02F3"/>
    <w:rsid w:val="00702901"/>
    <w:rsid w:val="007062C2"/>
    <w:rsid w:val="00712C5B"/>
    <w:rsid w:val="007236DE"/>
    <w:rsid w:val="00724029"/>
    <w:rsid w:val="0072536E"/>
    <w:rsid w:val="00730CEB"/>
    <w:rsid w:val="00731E33"/>
    <w:rsid w:val="00734ECB"/>
    <w:rsid w:val="007708E7"/>
    <w:rsid w:val="0078042D"/>
    <w:rsid w:val="007830D2"/>
    <w:rsid w:val="007C5078"/>
    <w:rsid w:val="007D4269"/>
    <w:rsid w:val="007D6517"/>
    <w:rsid w:val="007E08C3"/>
    <w:rsid w:val="007E7687"/>
    <w:rsid w:val="007F0E2C"/>
    <w:rsid w:val="0081053F"/>
    <w:rsid w:val="0082548A"/>
    <w:rsid w:val="0084495C"/>
    <w:rsid w:val="00892574"/>
    <w:rsid w:val="008970DB"/>
    <w:rsid w:val="008B0B7A"/>
    <w:rsid w:val="008C0471"/>
    <w:rsid w:val="008E28E2"/>
    <w:rsid w:val="008E3E69"/>
    <w:rsid w:val="00914DF2"/>
    <w:rsid w:val="00941467"/>
    <w:rsid w:val="009458E5"/>
    <w:rsid w:val="0094678D"/>
    <w:rsid w:val="00950325"/>
    <w:rsid w:val="00951253"/>
    <w:rsid w:val="00954C23"/>
    <w:rsid w:val="009723F7"/>
    <w:rsid w:val="00981321"/>
    <w:rsid w:val="0099062C"/>
    <w:rsid w:val="00994F1F"/>
    <w:rsid w:val="00997869"/>
    <w:rsid w:val="00997D23"/>
    <w:rsid w:val="009A2CC3"/>
    <w:rsid w:val="009A6F8A"/>
    <w:rsid w:val="009B2CBE"/>
    <w:rsid w:val="009D04E6"/>
    <w:rsid w:val="009D76E2"/>
    <w:rsid w:val="009F6A94"/>
    <w:rsid w:val="00A06AE8"/>
    <w:rsid w:val="00A11C58"/>
    <w:rsid w:val="00A16E9E"/>
    <w:rsid w:val="00A25CC6"/>
    <w:rsid w:val="00A658BD"/>
    <w:rsid w:val="00A66953"/>
    <w:rsid w:val="00A7057C"/>
    <w:rsid w:val="00A70F44"/>
    <w:rsid w:val="00A73BD2"/>
    <w:rsid w:val="00A833E2"/>
    <w:rsid w:val="00A965DE"/>
    <w:rsid w:val="00AA3DE4"/>
    <w:rsid w:val="00AC01E9"/>
    <w:rsid w:val="00AD4819"/>
    <w:rsid w:val="00AD7CF4"/>
    <w:rsid w:val="00B003A0"/>
    <w:rsid w:val="00B033C7"/>
    <w:rsid w:val="00B075F7"/>
    <w:rsid w:val="00B31B7F"/>
    <w:rsid w:val="00B47B21"/>
    <w:rsid w:val="00B533E7"/>
    <w:rsid w:val="00B561D6"/>
    <w:rsid w:val="00B6010A"/>
    <w:rsid w:val="00B6020E"/>
    <w:rsid w:val="00B64C99"/>
    <w:rsid w:val="00BA6241"/>
    <w:rsid w:val="00BD34ED"/>
    <w:rsid w:val="00BD5EAD"/>
    <w:rsid w:val="00C0005C"/>
    <w:rsid w:val="00C17FAF"/>
    <w:rsid w:val="00C45AD4"/>
    <w:rsid w:val="00C64AC9"/>
    <w:rsid w:val="00C72251"/>
    <w:rsid w:val="00C92AE0"/>
    <w:rsid w:val="00C933C0"/>
    <w:rsid w:val="00CC60E7"/>
    <w:rsid w:val="00CD48C5"/>
    <w:rsid w:val="00CD519A"/>
    <w:rsid w:val="00CE2A90"/>
    <w:rsid w:val="00CE55CC"/>
    <w:rsid w:val="00CE62A8"/>
    <w:rsid w:val="00D00309"/>
    <w:rsid w:val="00D27FFE"/>
    <w:rsid w:val="00D46691"/>
    <w:rsid w:val="00D514F7"/>
    <w:rsid w:val="00D640B8"/>
    <w:rsid w:val="00D732D6"/>
    <w:rsid w:val="00D81984"/>
    <w:rsid w:val="00D933D4"/>
    <w:rsid w:val="00D93B19"/>
    <w:rsid w:val="00D95718"/>
    <w:rsid w:val="00DA1742"/>
    <w:rsid w:val="00DB260A"/>
    <w:rsid w:val="00DC3029"/>
    <w:rsid w:val="00E062C9"/>
    <w:rsid w:val="00E076E1"/>
    <w:rsid w:val="00E22CFA"/>
    <w:rsid w:val="00E27C3E"/>
    <w:rsid w:val="00E326D0"/>
    <w:rsid w:val="00E330D5"/>
    <w:rsid w:val="00E4351F"/>
    <w:rsid w:val="00E5504D"/>
    <w:rsid w:val="00E60041"/>
    <w:rsid w:val="00E70804"/>
    <w:rsid w:val="00E72CF1"/>
    <w:rsid w:val="00E73C97"/>
    <w:rsid w:val="00E80BC7"/>
    <w:rsid w:val="00E92E67"/>
    <w:rsid w:val="00E933F3"/>
    <w:rsid w:val="00EA09B9"/>
    <w:rsid w:val="00EB03AE"/>
    <w:rsid w:val="00EC5027"/>
    <w:rsid w:val="00EE636F"/>
    <w:rsid w:val="00EF1FF1"/>
    <w:rsid w:val="00F110BE"/>
    <w:rsid w:val="00F13566"/>
    <w:rsid w:val="00F269AA"/>
    <w:rsid w:val="00F315AD"/>
    <w:rsid w:val="00F31C0E"/>
    <w:rsid w:val="00F44B71"/>
    <w:rsid w:val="00F55F27"/>
    <w:rsid w:val="00F83BB6"/>
    <w:rsid w:val="00F91779"/>
    <w:rsid w:val="00FB01FD"/>
    <w:rsid w:val="00FB641D"/>
    <w:rsid w:val="00FC00E8"/>
    <w:rsid w:val="00FF4EA8"/>
    <w:rsid w:val="03D86F59"/>
    <w:rsid w:val="312931BE"/>
    <w:rsid w:val="32A50D21"/>
    <w:rsid w:val="354F07F3"/>
    <w:rsid w:val="35A27589"/>
    <w:rsid w:val="6EC1124B"/>
    <w:rsid w:val="6FFE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autoRedefine/>
    <w:unhideWhenUsed/>
    <w:qFormat/>
    <w:uiPriority w:val="9"/>
    <w:pPr>
      <w:keepNext/>
      <w:keepLines/>
      <w:spacing w:before="260" w:after="260" w:line="416" w:lineRule="auto"/>
      <w:outlineLvl w:val="1"/>
    </w:pPr>
    <w:rPr>
      <w:rFonts w:eastAsia="仿宋" w:asciiTheme="majorHAnsi" w:hAnsiTheme="majorHAnsi"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semiHidden/>
    <w:unhideWhenUsed/>
    <w:qFormat/>
    <w:uiPriority w:val="99"/>
    <w:pPr>
      <w:jc w:val="left"/>
    </w:pPr>
  </w:style>
  <w:style w:type="paragraph" w:styleId="4">
    <w:name w:val="Body Text"/>
    <w:basedOn w:val="1"/>
    <w:link w:val="13"/>
    <w:autoRedefine/>
    <w:qFormat/>
    <w:uiPriority w:val="0"/>
    <w:rPr>
      <w:rFonts w:eastAsia="仿宋_GB2312"/>
      <w:sz w:val="32"/>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2"/>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正文文本 Char"/>
    <w:basedOn w:val="11"/>
    <w:link w:val="4"/>
    <w:autoRedefine/>
    <w:qFormat/>
    <w:uiPriority w:val="0"/>
    <w:rPr>
      <w:rFonts w:ascii="Times New Roman" w:hAnsi="Times New Roman" w:eastAsia="仿宋_GB2312" w:cs="Times New Roman"/>
      <w:sz w:val="32"/>
      <w:szCs w:val="20"/>
    </w:rPr>
  </w:style>
  <w:style w:type="character" w:customStyle="1" w:styleId="14">
    <w:name w:val="标题 1 Char Char Char Char"/>
    <w:autoRedefine/>
    <w:qFormat/>
    <w:uiPriority w:val="0"/>
    <w:rPr>
      <w:rFonts w:eastAsia="宋体"/>
      <w:b/>
      <w:bCs/>
      <w:kern w:val="44"/>
      <w:sz w:val="44"/>
      <w:szCs w:val="44"/>
      <w:lang w:val="en-US" w:eastAsia="zh-CN" w:bidi="ar-SA"/>
    </w:rPr>
  </w:style>
  <w:style w:type="character" w:customStyle="1" w:styleId="15">
    <w:name w:val="页眉 Char"/>
    <w:basedOn w:val="11"/>
    <w:link w:val="7"/>
    <w:autoRedefine/>
    <w:qFormat/>
    <w:uiPriority w:val="99"/>
    <w:rPr>
      <w:rFonts w:ascii="Times New Roman" w:hAnsi="Times New Roman" w:eastAsia="宋体" w:cs="Times New Roman"/>
      <w:sz w:val="18"/>
      <w:szCs w:val="18"/>
    </w:rPr>
  </w:style>
  <w:style w:type="character" w:customStyle="1" w:styleId="16">
    <w:name w:val="页脚 Char"/>
    <w:basedOn w:val="11"/>
    <w:link w:val="6"/>
    <w:autoRedefine/>
    <w:qFormat/>
    <w:uiPriority w:val="99"/>
    <w:rPr>
      <w:rFonts w:ascii="Times New Roman" w:hAnsi="Times New Roman" w:eastAsia="宋体" w:cs="Times New Roman"/>
      <w:sz w:val="18"/>
      <w:szCs w:val="18"/>
    </w:rPr>
  </w:style>
  <w:style w:type="character" w:customStyle="1" w:styleId="17">
    <w:name w:val="批注框文本 Char"/>
    <w:basedOn w:val="11"/>
    <w:link w:val="5"/>
    <w:autoRedefine/>
    <w:semiHidden/>
    <w:qFormat/>
    <w:uiPriority w:val="99"/>
    <w:rPr>
      <w:rFonts w:ascii="Times New Roman" w:hAnsi="Times New Roman" w:eastAsia="宋体" w:cs="Times New Roman"/>
      <w:sz w:val="18"/>
      <w:szCs w:val="18"/>
    </w:rPr>
  </w:style>
  <w:style w:type="paragraph" w:styleId="1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19">
    <w:name w:val="标题 2 Char"/>
    <w:basedOn w:val="11"/>
    <w:link w:val="2"/>
    <w:autoRedefine/>
    <w:qFormat/>
    <w:uiPriority w:val="9"/>
    <w:rPr>
      <w:rFonts w:eastAsia="仿宋" w:asciiTheme="majorHAnsi" w:hAnsiTheme="majorHAnsi" w:cstheme="majorBidi"/>
      <w:b/>
      <w:bCs/>
      <w:sz w:val="32"/>
      <w:szCs w:val="32"/>
    </w:rPr>
  </w:style>
  <w:style w:type="character" w:customStyle="1" w:styleId="20">
    <w:name w:val="批注文字 Char"/>
    <w:basedOn w:val="11"/>
    <w:link w:val="3"/>
    <w:autoRedefine/>
    <w:semiHidden/>
    <w:qFormat/>
    <w:uiPriority w:val="99"/>
    <w:rPr>
      <w:rFonts w:ascii="Times New Roman" w:hAnsi="Times New Roman" w:eastAsia="宋体" w:cs="Times New Roman"/>
      <w:szCs w:val="24"/>
    </w:rPr>
  </w:style>
  <w:style w:type="paragraph" w:customStyle="1" w:styleId="21">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批注主题 Char"/>
    <w:basedOn w:val="20"/>
    <w:link w:val="8"/>
    <w:autoRedefine/>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E477-C468-4704-A743-91AE2DA89FF1}">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990</Words>
  <Characters>5645</Characters>
  <Lines>47</Lines>
  <Paragraphs>13</Paragraphs>
  <TotalTime>30</TotalTime>
  <ScaleCrop>false</ScaleCrop>
  <LinksUpToDate>false</LinksUpToDate>
  <CharactersWithSpaces>6622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2023-01-04T06:40:00Z</dcterms:created>
  <dc:creator>Alan Wang</dc:creator>
  <cp:lastModifiedBy>Amaterasu</cp:lastModifiedBy>
  <cp:lastPrinted>2023-01-06T07:16:00Z</cp:lastPrinted>
  <dcterms:modified xsi:type="dcterms:W3CDTF">2024-01-31T07:56:19Z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BC1B4EDFF5D842B181D854CCC9E7AE0C_12</vt:lpwstr>
  </property>
</Properties>
</file>