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202</w:t>
      </w:r>
      <w:r>
        <w:rPr>
          <w:rFonts w:hint="eastAsia" w:ascii="微软雅黑" w:hAnsi="微软雅黑" w:eastAsia="微软雅黑" w:cs="微软雅黑"/>
          <w:i w:val="0"/>
          <w:iCs w:val="0"/>
          <w:caps w:val="0"/>
          <w:color w:val="404040"/>
          <w:spacing w:val="0"/>
          <w:sz w:val="24"/>
          <w:szCs w:val="24"/>
          <w:shd w:val="clear" w:fill="FFFFFF"/>
          <w:lang w:val="en-US" w:eastAsia="zh-CN"/>
        </w:rPr>
        <w:t>2</w:t>
      </w:r>
      <w:r>
        <w:rPr>
          <w:rFonts w:hint="eastAsia" w:ascii="微软雅黑" w:hAnsi="微软雅黑" w:eastAsia="微软雅黑" w:cs="微软雅黑"/>
          <w:i w:val="0"/>
          <w:iCs w:val="0"/>
          <w:caps w:val="0"/>
          <w:color w:val="404040"/>
          <w:spacing w:val="0"/>
          <w:sz w:val="24"/>
          <w:szCs w:val="24"/>
          <w:shd w:val="clear" w:fill="FFFFFF"/>
        </w:rPr>
        <w:t>年</w:t>
      </w:r>
      <w:r>
        <w:rPr>
          <w:rFonts w:hint="eastAsia" w:ascii="微软雅黑" w:hAnsi="微软雅黑" w:eastAsia="微软雅黑" w:cs="微软雅黑"/>
          <w:i w:val="0"/>
          <w:iCs w:val="0"/>
          <w:caps w:val="0"/>
          <w:color w:val="404040"/>
          <w:spacing w:val="0"/>
          <w:sz w:val="24"/>
          <w:szCs w:val="24"/>
          <w:shd w:val="clear" w:fill="FFFFFF"/>
          <w:lang w:val="en-US" w:eastAsia="zh-CN"/>
        </w:rPr>
        <w:t>1-8月</w:t>
      </w:r>
      <w:r>
        <w:rPr>
          <w:rFonts w:hint="eastAsia" w:ascii="微软雅黑" w:hAnsi="微软雅黑" w:eastAsia="微软雅黑" w:cs="微软雅黑"/>
          <w:i w:val="0"/>
          <w:iCs w:val="0"/>
          <w:caps w:val="0"/>
          <w:color w:val="404040"/>
          <w:spacing w:val="0"/>
          <w:sz w:val="24"/>
          <w:szCs w:val="24"/>
          <w:shd w:val="clear" w:fill="FFFFFF"/>
        </w:rPr>
        <w:t>，</w:t>
      </w:r>
      <w:r>
        <w:rPr>
          <w:rFonts w:hint="eastAsia" w:ascii="微软雅黑" w:hAnsi="微软雅黑" w:eastAsia="微软雅黑" w:cs="微软雅黑"/>
          <w:i w:val="0"/>
          <w:iCs w:val="0"/>
          <w:caps w:val="0"/>
          <w:color w:val="404040"/>
          <w:spacing w:val="0"/>
          <w:sz w:val="24"/>
          <w:szCs w:val="24"/>
          <w:shd w:val="clear" w:fill="FFFFFF"/>
          <w:lang w:eastAsia="zh-CN"/>
        </w:rPr>
        <w:t>海淀区</w:t>
      </w:r>
      <w:r>
        <w:rPr>
          <w:rFonts w:hint="eastAsia" w:ascii="微软雅黑" w:hAnsi="微软雅黑" w:eastAsia="微软雅黑" w:cs="微软雅黑"/>
          <w:i w:val="0"/>
          <w:iCs w:val="0"/>
          <w:caps w:val="0"/>
          <w:color w:val="404040"/>
          <w:spacing w:val="0"/>
          <w:sz w:val="24"/>
          <w:szCs w:val="24"/>
          <w:shd w:val="clear" w:fill="FFFFFF"/>
        </w:rPr>
        <w:t>固定资产投资(不含农户)同比</w:t>
      </w:r>
      <w:r>
        <w:rPr>
          <w:rFonts w:hint="eastAsia" w:ascii="微软雅黑" w:hAnsi="微软雅黑" w:eastAsia="微软雅黑" w:cs="微软雅黑"/>
          <w:i w:val="0"/>
          <w:iCs w:val="0"/>
          <w:caps w:val="0"/>
          <w:color w:val="404040"/>
          <w:spacing w:val="0"/>
          <w:sz w:val="24"/>
          <w:szCs w:val="24"/>
          <w:shd w:val="clear" w:fill="FFFFFF"/>
          <w:lang w:eastAsia="zh-CN"/>
        </w:rPr>
        <w:t>增长</w:t>
      </w:r>
      <w:r>
        <w:rPr>
          <w:rFonts w:hint="eastAsia" w:ascii="微软雅黑" w:hAnsi="微软雅黑" w:eastAsia="微软雅黑" w:cs="微软雅黑"/>
          <w:i w:val="0"/>
          <w:iCs w:val="0"/>
          <w:caps w:val="0"/>
          <w:color w:val="404040"/>
          <w:spacing w:val="0"/>
          <w:sz w:val="24"/>
          <w:szCs w:val="24"/>
          <w:shd w:val="clear" w:fill="FFFFFF"/>
          <w:lang w:val="en-US" w:eastAsia="zh-CN"/>
        </w:rPr>
        <w:t>11.0</w:t>
      </w:r>
      <w:r>
        <w:rPr>
          <w:rFonts w:hint="eastAsia" w:ascii="微软雅黑" w:hAnsi="微软雅黑" w:eastAsia="微软雅黑" w:cs="微软雅黑"/>
          <w:i w:val="0"/>
          <w:iCs w:val="0"/>
          <w:caps w:val="0"/>
          <w:color w:val="404040"/>
          <w:spacing w:val="0"/>
          <w:sz w:val="24"/>
          <w:szCs w:val="24"/>
          <w:shd w:val="clear" w:fill="FFFFFF"/>
        </w:rPr>
        <w:t>%。其中，房地产开发投资</w:t>
      </w:r>
      <w:r>
        <w:rPr>
          <w:rFonts w:hint="eastAsia" w:ascii="微软雅黑" w:hAnsi="微软雅黑" w:eastAsia="微软雅黑" w:cs="微软雅黑"/>
          <w:i w:val="0"/>
          <w:iCs w:val="0"/>
          <w:caps w:val="0"/>
          <w:color w:val="404040"/>
          <w:spacing w:val="0"/>
          <w:sz w:val="24"/>
          <w:szCs w:val="24"/>
          <w:shd w:val="clear" w:fill="FFFFFF"/>
          <w:lang w:eastAsia="zh-CN"/>
        </w:rPr>
        <w:t>增长</w:t>
      </w:r>
      <w:r>
        <w:rPr>
          <w:rFonts w:hint="eastAsia" w:ascii="微软雅黑" w:hAnsi="微软雅黑" w:eastAsia="微软雅黑" w:cs="微软雅黑"/>
          <w:i w:val="0"/>
          <w:iCs w:val="0"/>
          <w:caps w:val="0"/>
          <w:color w:val="404040"/>
          <w:spacing w:val="0"/>
          <w:sz w:val="24"/>
          <w:szCs w:val="24"/>
          <w:shd w:val="clear" w:fill="FFFFFF"/>
          <w:lang w:val="en-US" w:eastAsia="zh-CN"/>
        </w:rPr>
        <w:t>12.2</w:t>
      </w:r>
      <w:r>
        <w:rPr>
          <w:rFonts w:hint="eastAsia" w:ascii="微软雅黑" w:hAnsi="微软雅黑" w:eastAsia="微软雅黑" w:cs="微软雅黑"/>
          <w:i w:val="0"/>
          <w:iCs w:val="0"/>
          <w:caps w:val="0"/>
          <w:color w:val="404040"/>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从构成上看，建安投资</w:t>
      </w:r>
      <w:r>
        <w:rPr>
          <w:rFonts w:hint="eastAsia" w:ascii="微软雅黑" w:hAnsi="微软雅黑" w:eastAsia="微软雅黑" w:cs="微软雅黑"/>
          <w:i w:val="0"/>
          <w:iCs w:val="0"/>
          <w:caps w:val="0"/>
          <w:color w:val="404040"/>
          <w:spacing w:val="0"/>
          <w:sz w:val="24"/>
          <w:szCs w:val="24"/>
          <w:shd w:val="clear" w:fill="FFFFFF"/>
          <w:lang w:eastAsia="zh-CN"/>
        </w:rPr>
        <w:t>增长</w:t>
      </w:r>
      <w:r>
        <w:rPr>
          <w:rFonts w:hint="eastAsia" w:ascii="微软雅黑" w:hAnsi="微软雅黑" w:eastAsia="微软雅黑" w:cs="微软雅黑"/>
          <w:i w:val="0"/>
          <w:iCs w:val="0"/>
          <w:caps w:val="0"/>
          <w:color w:val="404040"/>
          <w:spacing w:val="0"/>
          <w:sz w:val="24"/>
          <w:szCs w:val="24"/>
          <w:shd w:val="clear" w:fill="FFFFFF"/>
          <w:lang w:val="en-US" w:eastAsia="zh-CN"/>
        </w:rPr>
        <w:t>8.9</w:t>
      </w:r>
      <w:r>
        <w:rPr>
          <w:rFonts w:hint="eastAsia" w:ascii="微软雅黑" w:hAnsi="微软雅黑" w:eastAsia="微软雅黑" w:cs="微软雅黑"/>
          <w:i w:val="0"/>
          <w:iCs w:val="0"/>
          <w:caps w:val="0"/>
          <w:color w:val="404040"/>
          <w:spacing w:val="0"/>
          <w:sz w:val="24"/>
          <w:szCs w:val="24"/>
          <w:shd w:val="clear" w:fill="FFFFFF"/>
        </w:rPr>
        <w:t>%，设备工器具购置投资增长</w:t>
      </w:r>
      <w:r>
        <w:rPr>
          <w:rFonts w:hint="eastAsia" w:ascii="微软雅黑" w:hAnsi="微软雅黑" w:eastAsia="微软雅黑" w:cs="微软雅黑"/>
          <w:i w:val="0"/>
          <w:iCs w:val="0"/>
          <w:caps w:val="0"/>
          <w:color w:val="404040"/>
          <w:spacing w:val="0"/>
          <w:sz w:val="24"/>
          <w:szCs w:val="24"/>
          <w:shd w:val="clear" w:fill="FFFFFF"/>
          <w:lang w:val="en-US" w:eastAsia="zh-CN"/>
        </w:rPr>
        <w:t>44.4</w:t>
      </w:r>
      <w:r>
        <w:rPr>
          <w:rFonts w:hint="eastAsia" w:ascii="微软雅黑" w:hAnsi="微软雅黑" w:eastAsia="微软雅黑" w:cs="微软雅黑"/>
          <w:i w:val="0"/>
          <w:iCs w:val="0"/>
          <w:caps w:val="0"/>
          <w:color w:val="404040"/>
          <w:spacing w:val="0"/>
          <w:sz w:val="24"/>
          <w:szCs w:val="24"/>
          <w:shd w:val="clear" w:fill="FFFFFF"/>
        </w:rPr>
        <w:t>%，其他费用投资</w:t>
      </w:r>
      <w:r>
        <w:rPr>
          <w:rFonts w:hint="eastAsia" w:ascii="微软雅黑" w:hAnsi="微软雅黑" w:eastAsia="微软雅黑" w:cs="微软雅黑"/>
          <w:i w:val="0"/>
          <w:iCs w:val="0"/>
          <w:caps w:val="0"/>
          <w:color w:val="404040"/>
          <w:spacing w:val="0"/>
          <w:sz w:val="24"/>
          <w:szCs w:val="24"/>
          <w:shd w:val="clear" w:fill="FFFFFF"/>
          <w:lang w:eastAsia="zh-CN"/>
        </w:rPr>
        <w:t>增长</w:t>
      </w:r>
      <w:r>
        <w:rPr>
          <w:rFonts w:hint="eastAsia" w:ascii="微软雅黑" w:hAnsi="微软雅黑" w:eastAsia="微软雅黑" w:cs="微软雅黑"/>
          <w:i w:val="0"/>
          <w:iCs w:val="0"/>
          <w:caps w:val="0"/>
          <w:color w:val="404040"/>
          <w:spacing w:val="0"/>
          <w:sz w:val="24"/>
          <w:szCs w:val="24"/>
          <w:shd w:val="clear" w:fill="FFFFFF"/>
          <w:lang w:val="en-US" w:eastAsia="zh-CN"/>
        </w:rPr>
        <w:t>5.1</w:t>
      </w:r>
      <w:r>
        <w:rPr>
          <w:rFonts w:hint="eastAsia" w:ascii="微软雅黑" w:hAnsi="微软雅黑" w:eastAsia="微软雅黑" w:cs="微软雅黑"/>
          <w:i w:val="0"/>
          <w:iCs w:val="0"/>
          <w:caps w:val="0"/>
          <w:color w:val="404040"/>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shd w:val="clear" w:fill="FFFFFF"/>
        </w:rPr>
      </w:pPr>
      <w:r>
        <w:rPr>
          <w:rFonts w:hint="eastAsia" w:ascii="微软雅黑" w:hAnsi="微软雅黑" w:eastAsia="微软雅黑" w:cs="微软雅黑"/>
          <w:i w:val="0"/>
          <w:iCs w:val="0"/>
          <w:caps w:val="0"/>
          <w:color w:val="404040"/>
          <w:spacing w:val="0"/>
          <w:sz w:val="24"/>
          <w:szCs w:val="24"/>
          <w:shd w:val="clear" w:fill="FFFFFF"/>
        </w:rPr>
        <w:t>从投资行业看，制造业增长</w:t>
      </w:r>
      <w:r>
        <w:rPr>
          <w:rFonts w:hint="eastAsia" w:ascii="微软雅黑" w:hAnsi="微软雅黑" w:eastAsia="微软雅黑" w:cs="微软雅黑"/>
          <w:i w:val="0"/>
          <w:iCs w:val="0"/>
          <w:caps w:val="0"/>
          <w:color w:val="404040"/>
          <w:spacing w:val="0"/>
          <w:sz w:val="24"/>
          <w:szCs w:val="24"/>
          <w:shd w:val="clear" w:fill="FFFFFF"/>
          <w:lang w:val="en-US" w:eastAsia="zh-CN"/>
        </w:rPr>
        <w:t>558.2</w:t>
      </w:r>
      <w:r>
        <w:rPr>
          <w:rFonts w:hint="eastAsia" w:ascii="微软雅黑" w:hAnsi="微软雅黑" w:eastAsia="微软雅黑" w:cs="微软雅黑"/>
          <w:i w:val="0"/>
          <w:iCs w:val="0"/>
          <w:caps w:val="0"/>
          <w:color w:val="404040"/>
          <w:spacing w:val="0"/>
          <w:sz w:val="24"/>
          <w:szCs w:val="24"/>
          <w:shd w:val="clear" w:fill="FFFFFF"/>
        </w:rPr>
        <w:t>%</w:t>
      </w:r>
      <w:r>
        <w:rPr>
          <w:rFonts w:hint="eastAsia" w:ascii="微软雅黑" w:hAnsi="微软雅黑" w:eastAsia="微软雅黑" w:cs="微软雅黑"/>
          <w:i w:val="0"/>
          <w:iCs w:val="0"/>
          <w:caps w:val="0"/>
          <w:color w:val="404040"/>
          <w:spacing w:val="0"/>
          <w:sz w:val="24"/>
          <w:szCs w:val="24"/>
          <w:shd w:val="clear" w:fill="FFFFFF"/>
          <w:lang w:eastAsia="zh-CN"/>
        </w:rPr>
        <w:t>，</w:t>
      </w:r>
      <w:bookmarkStart w:id="0" w:name="_GoBack"/>
      <w:bookmarkEnd w:id="0"/>
      <w:r>
        <w:rPr>
          <w:rFonts w:hint="eastAsia" w:ascii="微软雅黑" w:hAnsi="微软雅黑" w:eastAsia="微软雅黑" w:cs="微软雅黑"/>
          <w:i w:val="0"/>
          <w:iCs w:val="0"/>
          <w:caps w:val="0"/>
          <w:color w:val="404040"/>
          <w:spacing w:val="0"/>
          <w:sz w:val="24"/>
          <w:szCs w:val="24"/>
          <w:shd w:val="clear" w:fill="FFFFFF"/>
        </w:rPr>
        <w:t>金融业</w:t>
      </w:r>
      <w:r>
        <w:rPr>
          <w:rFonts w:hint="eastAsia" w:ascii="微软雅黑" w:hAnsi="微软雅黑" w:eastAsia="微软雅黑" w:cs="微软雅黑"/>
          <w:i w:val="0"/>
          <w:iCs w:val="0"/>
          <w:caps w:val="0"/>
          <w:color w:val="404040"/>
          <w:spacing w:val="0"/>
          <w:sz w:val="24"/>
          <w:szCs w:val="24"/>
          <w:shd w:val="clear" w:fill="FFFFFF"/>
          <w:lang w:eastAsia="zh-CN"/>
        </w:rPr>
        <w:t>下降</w:t>
      </w:r>
      <w:r>
        <w:rPr>
          <w:rFonts w:hint="eastAsia" w:ascii="微软雅黑" w:hAnsi="微软雅黑" w:eastAsia="微软雅黑" w:cs="微软雅黑"/>
          <w:i w:val="0"/>
          <w:iCs w:val="0"/>
          <w:caps w:val="0"/>
          <w:color w:val="404040"/>
          <w:spacing w:val="0"/>
          <w:sz w:val="24"/>
          <w:szCs w:val="24"/>
          <w:shd w:val="clear" w:fill="FFFFFF"/>
          <w:lang w:val="en-US" w:eastAsia="zh-CN"/>
        </w:rPr>
        <w:t>23.6</w:t>
      </w:r>
      <w:r>
        <w:rPr>
          <w:rFonts w:hint="eastAsia" w:ascii="微软雅黑" w:hAnsi="微软雅黑" w:eastAsia="微软雅黑" w:cs="微软雅黑"/>
          <w:i w:val="0"/>
          <w:iCs w:val="0"/>
          <w:caps w:val="0"/>
          <w:color w:val="404040"/>
          <w:spacing w:val="0"/>
          <w:sz w:val="24"/>
          <w:szCs w:val="24"/>
          <w:shd w:val="clear" w:fill="FFFFFF"/>
        </w:rPr>
        <w:t>%，公共管理、社会保障和社会组织增长</w:t>
      </w:r>
      <w:r>
        <w:rPr>
          <w:rFonts w:hint="eastAsia" w:ascii="微软雅黑" w:hAnsi="微软雅黑" w:eastAsia="微软雅黑" w:cs="微软雅黑"/>
          <w:i w:val="0"/>
          <w:iCs w:val="0"/>
          <w:caps w:val="0"/>
          <w:color w:val="404040"/>
          <w:spacing w:val="0"/>
          <w:sz w:val="24"/>
          <w:szCs w:val="24"/>
          <w:shd w:val="clear" w:fill="FFFFFF"/>
          <w:lang w:val="en-US" w:eastAsia="zh-CN"/>
        </w:rPr>
        <w:t>369.2</w:t>
      </w:r>
      <w:r>
        <w:rPr>
          <w:rFonts w:hint="eastAsia" w:ascii="微软雅黑" w:hAnsi="微软雅黑" w:eastAsia="微软雅黑" w:cs="微软雅黑"/>
          <w:i w:val="0"/>
          <w:iCs w:val="0"/>
          <w:caps w:val="0"/>
          <w:color w:val="404040"/>
          <w:spacing w:val="0"/>
          <w:sz w:val="24"/>
          <w:szCs w:val="24"/>
          <w:shd w:val="clear" w:fill="FFFFFF"/>
        </w:rPr>
        <w:t>%，卫生和社会工作</w:t>
      </w:r>
      <w:r>
        <w:rPr>
          <w:rFonts w:hint="eastAsia" w:ascii="微软雅黑" w:hAnsi="微软雅黑" w:eastAsia="微软雅黑" w:cs="微软雅黑"/>
          <w:i w:val="0"/>
          <w:iCs w:val="0"/>
          <w:caps w:val="0"/>
          <w:color w:val="404040"/>
          <w:spacing w:val="0"/>
          <w:sz w:val="24"/>
          <w:szCs w:val="24"/>
          <w:shd w:val="clear" w:fill="FFFFFF"/>
          <w:lang w:eastAsia="zh-CN"/>
        </w:rPr>
        <w:t>增长</w:t>
      </w:r>
      <w:r>
        <w:rPr>
          <w:rFonts w:hint="eastAsia" w:ascii="微软雅黑" w:hAnsi="微软雅黑" w:eastAsia="微软雅黑" w:cs="微软雅黑"/>
          <w:i w:val="0"/>
          <w:iCs w:val="0"/>
          <w:caps w:val="0"/>
          <w:color w:val="404040"/>
          <w:spacing w:val="0"/>
          <w:sz w:val="24"/>
          <w:szCs w:val="24"/>
          <w:shd w:val="clear" w:fill="FFFFFF"/>
          <w:lang w:val="en-US" w:eastAsia="zh-CN"/>
        </w:rPr>
        <w:t>34.6</w:t>
      </w:r>
      <w:r>
        <w:rPr>
          <w:rFonts w:hint="eastAsia" w:ascii="微软雅黑" w:hAnsi="微软雅黑" w:eastAsia="微软雅黑" w:cs="微软雅黑"/>
          <w:i w:val="0"/>
          <w:iCs w:val="0"/>
          <w:caps w:val="0"/>
          <w:color w:val="404040"/>
          <w:spacing w:val="0"/>
          <w:sz w:val="24"/>
          <w:szCs w:val="24"/>
          <w:shd w:val="clear" w:fill="FFFFFF"/>
        </w:rPr>
        <w:t>%，信息传输、软件和信息技术服务业增长</w:t>
      </w:r>
      <w:r>
        <w:rPr>
          <w:rFonts w:hint="eastAsia" w:ascii="微软雅黑" w:hAnsi="微软雅黑" w:eastAsia="微软雅黑" w:cs="微软雅黑"/>
          <w:i w:val="0"/>
          <w:iCs w:val="0"/>
          <w:caps w:val="0"/>
          <w:color w:val="404040"/>
          <w:spacing w:val="0"/>
          <w:sz w:val="24"/>
          <w:szCs w:val="24"/>
          <w:shd w:val="clear" w:fill="FFFFFF"/>
          <w:lang w:val="en-US" w:eastAsia="zh-CN"/>
        </w:rPr>
        <w:t>42.9</w:t>
      </w:r>
      <w:r>
        <w:rPr>
          <w:rFonts w:hint="eastAsia" w:ascii="微软雅黑" w:hAnsi="微软雅黑" w:eastAsia="微软雅黑" w:cs="微软雅黑"/>
          <w:i w:val="0"/>
          <w:iCs w:val="0"/>
          <w:caps w:val="0"/>
          <w:color w:val="404040"/>
          <w:spacing w:val="0"/>
          <w:sz w:val="24"/>
          <w:szCs w:val="24"/>
          <w:shd w:val="clear" w:fill="FFFFFF"/>
        </w:rPr>
        <w:t>%，教育增长</w:t>
      </w:r>
      <w:r>
        <w:rPr>
          <w:rFonts w:hint="eastAsia" w:ascii="微软雅黑" w:hAnsi="微软雅黑" w:eastAsia="微软雅黑" w:cs="微软雅黑"/>
          <w:i w:val="0"/>
          <w:iCs w:val="0"/>
          <w:caps w:val="0"/>
          <w:color w:val="404040"/>
          <w:spacing w:val="0"/>
          <w:sz w:val="24"/>
          <w:szCs w:val="24"/>
          <w:shd w:val="clear" w:fill="FFFFFF"/>
          <w:lang w:val="en-US" w:eastAsia="zh-CN"/>
        </w:rPr>
        <w:t>47.4</w:t>
      </w:r>
      <w:r>
        <w:rPr>
          <w:rFonts w:hint="eastAsia" w:ascii="微软雅黑" w:hAnsi="微软雅黑" w:eastAsia="微软雅黑" w:cs="微软雅黑"/>
          <w:i w:val="0"/>
          <w:iCs w:val="0"/>
          <w:caps w:val="0"/>
          <w:color w:val="404040"/>
          <w:spacing w:val="0"/>
          <w:sz w:val="24"/>
          <w:szCs w:val="24"/>
          <w:shd w:val="clear" w:fill="FFFFFF"/>
        </w:rPr>
        <w:t>%，住宿和餐饮业</w:t>
      </w:r>
      <w:r>
        <w:rPr>
          <w:rFonts w:hint="eastAsia" w:ascii="微软雅黑" w:hAnsi="微软雅黑" w:eastAsia="微软雅黑" w:cs="微软雅黑"/>
          <w:i w:val="0"/>
          <w:iCs w:val="0"/>
          <w:caps w:val="0"/>
          <w:color w:val="404040"/>
          <w:spacing w:val="0"/>
          <w:sz w:val="24"/>
          <w:szCs w:val="24"/>
          <w:shd w:val="clear" w:fill="FFFFFF"/>
          <w:lang w:eastAsia="zh-CN"/>
        </w:rPr>
        <w:t>下降</w:t>
      </w:r>
      <w:r>
        <w:rPr>
          <w:rFonts w:hint="eastAsia" w:ascii="微软雅黑" w:hAnsi="微软雅黑" w:eastAsia="微软雅黑" w:cs="微软雅黑"/>
          <w:i w:val="0"/>
          <w:iCs w:val="0"/>
          <w:caps w:val="0"/>
          <w:color w:val="404040"/>
          <w:spacing w:val="0"/>
          <w:sz w:val="24"/>
          <w:szCs w:val="24"/>
          <w:shd w:val="clear" w:fill="FFFFFF"/>
          <w:lang w:val="en-US" w:eastAsia="zh-CN"/>
        </w:rPr>
        <w:t>71.1</w:t>
      </w:r>
      <w:r>
        <w:rPr>
          <w:rFonts w:hint="eastAsia" w:ascii="微软雅黑" w:hAnsi="微软雅黑" w:eastAsia="微软雅黑" w:cs="微软雅黑"/>
          <w:i w:val="0"/>
          <w:iCs w:val="0"/>
          <w:caps w:val="0"/>
          <w:color w:val="404040"/>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center"/>
        <w:textAlignment w:val="auto"/>
        <w:rPr>
          <w:rFonts w:hint="eastAsia" w:ascii="微软雅黑" w:hAnsi="微软雅黑" w:eastAsia="微软雅黑" w:cs="微软雅黑"/>
          <w:i w:val="0"/>
          <w:iCs w:val="0"/>
          <w:caps w:val="0"/>
          <w:color w:val="404040"/>
          <w:spacing w:val="0"/>
          <w:sz w:val="24"/>
          <w:szCs w:val="24"/>
          <w:shd w:val="clear" w:fill="FFFFFF"/>
        </w:rPr>
      </w:pPr>
      <w:r>
        <w:drawing>
          <wp:inline distT="0" distB="0" distL="114300" distR="114300">
            <wp:extent cx="4572000" cy="2799715"/>
            <wp:effectExtent l="4445" t="4445" r="14605" b="15240"/>
            <wp:docPr id="707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宋体" w:hAnsi="宋体" w:eastAsia="宋体" w:cs="宋体"/>
          <w:b/>
          <w:bCs/>
          <w:i w:val="0"/>
          <w:iCs w:val="0"/>
          <w:caps w:val="0"/>
          <w:color w:val="404040"/>
          <w:spacing w:val="0"/>
          <w:sz w:val="21"/>
          <w:szCs w:val="21"/>
          <w:shd w:val="clear" w:fill="FFFFFF"/>
          <w:lang w:val="en-US" w:eastAsia="zh-CN"/>
        </w:rPr>
      </w:pPr>
      <w:r>
        <w:rPr>
          <w:rFonts w:hint="eastAsia" w:ascii="宋体" w:hAnsi="宋体" w:eastAsia="宋体" w:cs="宋体"/>
          <w:b/>
          <w:bCs/>
          <w:i w:val="0"/>
          <w:iCs w:val="0"/>
          <w:caps w:val="0"/>
          <w:color w:val="404040"/>
          <w:spacing w:val="0"/>
          <w:sz w:val="21"/>
          <w:szCs w:val="21"/>
          <w:shd w:val="clear" w:fill="FFFFFF"/>
          <w:lang w:eastAsia="zh-CN"/>
        </w:rPr>
        <w:t>图</w:t>
      </w:r>
      <w:r>
        <w:rPr>
          <w:rFonts w:hint="eastAsia" w:ascii="宋体" w:hAnsi="宋体" w:eastAsia="宋体" w:cs="宋体"/>
          <w:b/>
          <w:bCs/>
          <w:i w:val="0"/>
          <w:iCs w:val="0"/>
          <w:caps w:val="0"/>
          <w:color w:val="404040"/>
          <w:spacing w:val="0"/>
          <w:sz w:val="21"/>
          <w:szCs w:val="21"/>
          <w:shd w:val="clear" w:fill="FFFFFF"/>
          <w:lang w:val="en-US" w:eastAsia="zh-CN"/>
        </w:rPr>
        <w:t>1：固定资产投资增幅月度变化图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附注：统计范围、采集渠道、指标解释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1.统计范围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计划总投资500万元及以上固定资产投资项目的各种登记注册类型的单位及个体经营户、有开发经营活动的全部房地产开发经营业法人单位。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2.采集渠道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符合统计范围的固定资产投资项目单位按照《固定资产投资统计报表制度》、《房地产开发统计报表制度》的要求，通过统计联网直报平台上报统计数据。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3.主要统计指标解释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固定资产投资：指以货币形式表现的在一定时期内建造和购置固定资产的工作量以及与此有关的费用的总称。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shd w:val="clear" w:fill="FFFFFF"/>
        </w:rPr>
        <w:t>房地产开发投资：指从本年１月１日起至报告期末止完成的全部用于房屋建设工程和土地开发工程的投资额以及公益性建筑和土地购置费等的投资。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04040"/>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TY3NWRlM2Q0MjcyYjUxOTEzZTQ2OGFjNTAxYTkifQ=="/>
  </w:docVars>
  <w:rsids>
    <w:rsidRoot w:val="00000000"/>
    <w:rsid w:val="00DC7C1D"/>
    <w:rsid w:val="01DD3C4D"/>
    <w:rsid w:val="030F6088"/>
    <w:rsid w:val="04AA6FBB"/>
    <w:rsid w:val="056B1570"/>
    <w:rsid w:val="05ED6429"/>
    <w:rsid w:val="08F93C65"/>
    <w:rsid w:val="0B065FC2"/>
    <w:rsid w:val="0B1735FD"/>
    <w:rsid w:val="0B8415DD"/>
    <w:rsid w:val="0ECA284C"/>
    <w:rsid w:val="0F340C24"/>
    <w:rsid w:val="116C434C"/>
    <w:rsid w:val="11F03528"/>
    <w:rsid w:val="131270E0"/>
    <w:rsid w:val="13CB7DA9"/>
    <w:rsid w:val="151E03AD"/>
    <w:rsid w:val="194B54E8"/>
    <w:rsid w:val="1AC92B69"/>
    <w:rsid w:val="1E1F17B0"/>
    <w:rsid w:val="1E5F61BF"/>
    <w:rsid w:val="26B02E2F"/>
    <w:rsid w:val="2A963C79"/>
    <w:rsid w:val="2AC63E51"/>
    <w:rsid w:val="2B836D64"/>
    <w:rsid w:val="2C7555F5"/>
    <w:rsid w:val="2CFA107B"/>
    <w:rsid w:val="2E0E6467"/>
    <w:rsid w:val="3248641D"/>
    <w:rsid w:val="33A93B48"/>
    <w:rsid w:val="342015F4"/>
    <w:rsid w:val="34DC37F3"/>
    <w:rsid w:val="34F8431E"/>
    <w:rsid w:val="385C7BF1"/>
    <w:rsid w:val="3A103EB8"/>
    <w:rsid w:val="3BA21AC2"/>
    <w:rsid w:val="3C4A611D"/>
    <w:rsid w:val="3CF4186F"/>
    <w:rsid w:val="3D7D3613"/>
    <w:rsid w:val="3E35704E"/>
    <w:rsid w:val="40267F92"/>
    <w:rsid w:val="40AD2461"/>
    <w:rsid w:val="41707851"/>
    <w:rsid w:val="41FA16D6"/>
    <w:rsid w:val="42A96C58"/>
    <w:rsid w:val="42DC0DDB"/>
    <w:rsid w:val="439C73ED"/>
    <w:rsid w:val="467001B9"/>
    <w:rsid w:val="46F10BCE"/>
    <w:rsid w:val="487D6BBD"/>
    <w:rsid w:val="488241D3"/>
    <w:rsid w:val="48CB7FB5"/>
    <w:rsid w:val="495518E8"/>
    <w:rsid w:val="4A69564B"/>
    <w:rsid w:val="4B201A81"/>
    <w:rsid w:val="4BE96317"/>
    <w:rsid w:val="4DC40DEA"/>
    <w:rsid w:val="4FB54E8E"/>
    <w:rsid w:val="50057D06"/>
    <w:rsid w:val="513B7615"/>
    <w:rsid w:val="55807CEC"/>
    <w:rsid w:val="576F626A"/>
    <w:rsid w:val="58B2640F"/>
    <w:rsid w:val="58FA6008"/>
    <w:rsid w:val="5ABE1D47"/>
    <w:rsid w:val="5B743E4F"/>
    <w:rsid w:val="5C675762"/>
    <w:rsid w:val="613D4CE3"/>
    <w:rsid w:val="61A46B11"/>
    <w:rsid w:val="61F367FB"/>
    <w:rsid w:val="63BF7C32"/>
    <w:rsid w:val="64137F7D"/>
    <w:rsid w:val="659D21F5"/>
    <w:rsid w:val="65E044C8"/>
    <w:rsid w:val="660E6C4E"/>
    <w:rsid w:val="6829291E"/>
    <w:rsid w:val="6874548F"/>
    <w:rsid w:val="68F77E6E"/>
    <w:rsid w:val="6B5415A7"/>
    <w:rsid w:val="6BDB5825"/>
    <w:rsid w:val="6D5238C5"/>
    <w:rsid w:val="6D8A12B0"/>
    <w:rsid w:val="6E0B0072"/>
    <w:rsid w:val="71020CD1"/>
    <w:rsid w:val="72FD5981"/>
    <w:rsid w:val="748C3B60"/>
    <w:rsid w:val="76F11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1-8&#26376;&#21306;&#24773;\&#21306;&#24773;&#22270;%20&#65288;&#20998;&#26512;&#22270;&#34920;&#24314;&#23433;&#26376;&#24230;&#25968;&#25454;&#22270;%202020&#24180;&#12289;2021&#2418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71666666666667"/>
          <c:y val="0.0934452256747562"/>
          <c:w val="0.893111111111111"/>
          <c:h val="0.675073712860059"/>
        </c:manualLayout>
      </c:layout>
      <c:lineChart>
        <c:grouping val="standard"/>
        <c:varyColors val="0"/>
        <c:ser>
          <c:idx val="1"/>
          <c:order val="0"/>
          <c:tx>
            <c:strRef>
              <c:f>'[区情图 （分析图表建安月度数据图 2020年、2021年）.xls]投资区情图1'!$A$3</c:f>
              <c:strCache>
                <c:ptCount val="1"/>
                <c:pt idx="0">
                  <c:v>2021年固定资产投资投资增幅</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Lbl>
              <c:idx val="0"/>
              <c:layout>
                <c:manualLayout>
                  <c:x val="-0.00208333333333333"/>
                  <c:y val="0.041666666666666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29166666666667"/>
                  <c:y val="0.0432086514956785"/>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0347222222222222"/>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5"/>
                  <c:y val="-0.0110151898893679"/>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25"/>
                  <c:y val="0.136085280108868"/>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506944444444444"/>
                  <c:y val="-0.053703703703703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423611111111112"/>
                  <c:y val="-0.059490740740740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416666666666667"/>
                  <c:y val="-0.003473026163463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'[区情图 （分析图表建安月度数据图 2020年、2021年）.xls]投资区情图1'!$B$2:$L$2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'[区情图 （分析图表建安月度数据图 2020年、2021年）.xls]投资区情图1'!$B$3:$L$3</c:f>
              <c:numCache>
                <c:formatCode>0.0_ </c:formatCode>
                <c:ptCount val="11"/>
                <c:pt idx="0">
                  <c:v>16.6</c:v>
                </c:pt>
                <c:pt idx="1">
                  <c:v>4.8</c:v>
                </c:pt>
                <c:pt idx="2">
                  <c:v>1.6</c:v>
                </c:pt>
                <c:pt idx="3">
                  <c:v>16.8</c:v>
                </c:pt>
                <c:pt idx="4">
                  <c:v>1</c:v>
                </c:pt>
                <c:pt idx="5">
                  <c:v>8.2</c:v>
                </c:pt>
                <c:pt idx="6">
                  <c:v>5.4</c:v>
                </c:pt>
                <c:pt idx="7">
                  <c:v>4.5</c:v>
                </c:pt>
                <c:pt idx="8">
                  <c:v>5.6</c:v>
                </c:pt>
                <c:pt idx="9">
                  <c:v>6</c:v>
                </c:pt>
                <c:pt idx="10">
                  <c:v>10.7754943991945</c:v>
                </c:pt>
              </c:numCache>
            </c:numRef>
          </c:val>
          <c:smooth val="0"/>
        </c:ser>
        <c:ser>
          <c:idx val="2"/>
          <c:order val="1"/>
          <c:tx>
            <c:strRef>
              <c:f>'[区情图 （分析图表建安月度数据图 2020年、2021年）.xls]投资区情图1'!$A$4</c:f>
              <c:strCache>
                <c:ptCount val="1"/>
                <c:pt idx="0">
                  <c:v>2022年固定资产投资投资增幅</c:v>
                </c:pt>
              </c:strCache>
            </c:strRef>
          </c:tx>
          <c:dLbls>
            <c:dLbl>
              <c:idx val="0"/>
              <c:layout>
                <c:manualLayout>
                  <c:x val="-0.0166666666666667"/>
                  <c:y val="-0.023814924019051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166666666667"/>
                  <c:y val="-0.020412792016330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29166666666667"/>
                  <c:y val="0.020412792016330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
                  <c:y val="-0.03742345202993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'[区情图 （分析图表建安月度数据图 2020年、2021年）.xls]投资区情图1'!$B$2:$L$2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'[区情图 （分析图表建安月度数据图 2020年、2021年）.xls]投资区情图1'!$B$4:$L$4</c:f>
              <c:numCache>
                <c:formatCode>0.0_ </c:formatCode>
                <c:ptCount val="11"/>
                <c:pt idx="0">
                  <c:v>6.46354544687817</c:v>
                </c:pt>
                <c:pt idx="1">
                  <c:v>5.7</c:v>
                </c:pt>
                <c:pt idx="2">
                  <c:v>0.3</c:v>
                </c:pt>
                <c:pt idx="3">
                  <c:v>-10.3</c:v>
                </c:pt>
                <c:pt idx="4">
                  <c:v>5.3</c:v>
                </c:pt>
                <c:pt idx="5">
                  <c:v>10.7</c:v>
                </c:pt>
                <c:pt idx="6">
                  <c:v>11</c:v>
                </c:pt>
              </c:numCache>
            </c:numRef>
          </c:val>
          <c:smooth val="0"/>
        </c:ser>
        <c:dLbls>
          <c:showLegendKey val="0"/>
          <c:showVal val="0"/>
          <c:showCatName val="0"/>
          <c:showSerName val="0"/>
          <c:showPercent val="0"/>
          <c:showBubbleSize val="0"/>
        </c:dLbls>
        <c:marker val="1"/>
        <c:smooth val="0"/>
        <c:axId val="627766676"/>
        <c:axId val="69593791"/>
      </c:lineChart>
      <c:catAx>
        <c:axId val="6277666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9593791"/>
        <c:crosses val="autoZero"/>
        <c:auto val="1"/>
        <c:lblAlgn val="ctr"/>
        <c:lblOffset val="100"/>
        <c:noMultiLvlLbl val="0"/>
      </c:catAx>
      <c:valAx>
        <c:axId val="6959379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_ "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27766676"/>
        <c:crosses val="autoZero"/>
        <c:crossBetween val="between"/>
      </c:valAx>
      <c:spPr>
        <a:noFill/>
        <a:ln w="3175">
          <a:noFill/>
        </a:ln>
      </c:spPr>
    </c:plotArea>
    <c:legend>
      <c:legendPos val="b"/>
      <c:layout>
        <c:manualLayout>
          <c:xMode val="edge"/>
          <c:yMode val="edge"/>
          <c:x val="0.0534722222222222"/>
          <c:y val="0.895138888888889"/>
          <c:w val="0.942361111111111"/>
          <c:h val="0.0775462962962963"/>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456</Words>
  <Characters>513</Characters>
  <Lines>0</Lines>
  <Paragraphs>0</Paragraphs>
  <TotalTime>86</TotalTime>
  <ScaleCrop>false</ScaleCrop>
  <LinksUpToDate>false</LinksUpToDate>
  <CharactersWithSpaces>513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2022-03-03T09:05:00Z</dcterms:created>
  <dc:creator>lenovo</dc:creator>
  <cp:lastModifiedBy>lenovo</cp:lastModifiedBy>
  <dcterms:modified xsi:type="dcterms:W3CDTF">2022-09-21T08:14:57Z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E6457D64150A4137978633F49AF32880</vt:lpwstr>
  </property>
</Properties>
</file>